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bCs/>
          <w:sz w:val="44"/>
          <w:szCs w:val="44"/>
        </w:rPr>
      </w:pPr>
      <w:r>
        <w:rPr>
          <w:rFonts w:hint="eastAsia" w:ascii="微软雅黑" w:hAnsi="微软雅黑" w:eastAsia="微软雅黑"/>
          <w:b/>
          <w:bCs/>
          <w:sz w:val="44"/>
          <w:szCs w:val="44"/>
          <w:lang w:eastAsia="zh-CN"/>
        </w:rPr>
        <w:t>安徽</w:t>
      </w:r>
      <w:r>
        <w:rPr>
          <w:rFonts w:hint="eastAsia" w:ascii="微软雅黑" w:hAnsi="微软雅黑" w:eastAsia="微软雅黑"/>
          <w:b/>
          <w:bCs/>
          <w:sz w:val="44"/>
          <w:szCs w:val="44"/>
          <w:lang w:val="en-US" w:eastAsia="zh-CN"/>
        </w:rPr>
        <w:t>美信铝业</w:t>
      </w:r>
      <w:r>
        <w:rPr>
          <w:rFonts w:hint="eastAsia" w:ascii="微软雅黑" w:hAnsi="微软雅黑" w:eastAsia="微软雅黑"/>
          <w:b/>
          <w:bCs/>
          <w:sz w:val="44"/>
          <w:szCs w:val="44"/>
        </w:rPr>
        <w:t>有限公司</w:t>
      </w:r>
    </w:p>
    <w:p>
      <w:pPr>
        <w:jc w:val="center"/>
        <w:rPr>
          <w:rFonts w:hint="eastAsia" w:ascii="微软雅黑" w:hAnsi="微软雅黑" w:eastAsia="微软雅黑"/>
          <w:b/>
          <w:bCs/>
          <w:sz w:val="32"/>
          <w:szCs w:val="32"/>
        </w:rPr>
      </w:pPr>
      <w:r>
        <w:rPr>
          <w:rFonts w:hint="eastAsia" w:ascii="微软雅黑" w:hAnsi="微软雅黑" w:eastAsia="微软雅黑"/>
          <w:b/>
          <w:bCs/>
          <w:sz w:val="32"/>
          <w:szCs w:val="32"/>
          <w:lang w:val="en-US" w:eastAsia="zh-CN"/>
        </w:rPr>
        <w:t>应急准备及响应</w:t>
      </w:r>
      <w:r>
        <w:rPr>
          <w:rFonts w:hint="eastAsia" w:ascii="微软雅黑" w:hAnsi="微软雅黑" w:eastAsia="微软雅黑"/>
          <w:b/>
          <w:bCs/>
          <w:sz w:val="32"/>
          <w:szCs w:val="32"/>
        </w:rPr>
        <w:t>计划</w:t>
      </w:r>
    </w:p>
    <w:p>
      <w:pPr>
        <w:keepNext w:val="0"/>
        <w:keepLines w:val="0"/>
        <w:widowControl/>
        <w:suppressLineNumbers w:val="0"/>
        <w:ind w:firstLine="600" w:firstLineChars="200"/>
        <w:jc w:val="left"/>
        <w:rPr>
          <w:sz w:val="30"/>
          <w:szCs w:val="30"/>
        </w:rPr>
      </w:pPr>
      <w:r>
        <w:rPr>
          <w:rFonts w:hint="eastAsia" w:ascii="微软雅黑" w:hAnsi="微软雅黑" w:eastAsia="微软雅黑" w:cs="微软雅黑"/>
          <w:b/>
          <w:bCs/>
          <w:color w:val="000000"/>
          <w:kern w:val="0"/>
          <w:sz w:val="30"/>
          <w:szCs w:val="30"/>
          <w:lang w:val="en-US" w:eastAsia="zh-CN" w:bidi="ar"/>
        </w:rPr>
        <w:t>一、编制目的和范围</w:t>
      </w:r>
      <w:r>
        <w:rPr>
          <w:rFonts w:ascii="黑体" w:hAnsi="宋体" w:eastAsia="黑体" w:cs="黑体"/>
          <w:b/>
          <w:bCs/>
          <w:color w:val="000000"/>
          <w:kern w:val="0"/>
          <w:sz w:val="30"/>
          <w:szCs w:val="30"/>
          <w:lang w:val="en-US" w:eastAsia="zh-CN" w:bidi="ar"/>
        </w:rPr>
        <w:t xml:space="preserve"> </w:t>
      </w:r>
    </w:p>
    <w:p>
      <w:pPr>
        <w:ind w:firstLine="560" w:firstLineChars="200"/>
        <w:jc w:val="left"/>
        <w:rPr>
          <w:rFonts w:ascii="微软雅黑" w:hAnsi="微软雅黑" w:eastAsia="微软雅黑"/>
          <w:sz w:val="28"/>
          <w:szCs w:val="28"/>
        </w:rPr>
      </w:pPr>
      <w:r>
        <w:rPr>
          <w:rFonts w:ascii="微软雅黑" w:hAnsi="微软雅黑" w:eastAsia="微软雅黑"/>
          <w:sz w:val="28"/>
          <w:szCs w:val="28"/>
          <w:lang w:val="en-US" w:eastAsia="zh-CN"/>
        </w:rPr>
        <w:t>对</w:t>
      </w:r>
      <w:r>
        <w:rPr>
          <w:rFonts w:hint="eastAsia" w:ascii="微软雅黑" w:hAnsi="微软雅黑" w:eastAsia="微软雅黑"/>
          <w:sz w:val="28"/>
          <w:szCs w:val="28"/>
          <w:lang w:val="en-US" w:eastAsia="zh-CN"/>
        </w:rPr>
        <w:t>安徽美信铝业</w:t>
      </w:r>
      <w:r>
        <w:rPr>
          <w:rFonts w:ascii="微软雅黑" w:hAnsi="微软雅黑" w:eastAsia="微软雅黑"/>
          <w:sz w:val="28"/>
          <w:szCs w:val="28"/>
          <w:lang w:val="en-US" w:eastAsia="zh-CN"/>
        </w:rPr>
        <w:t>有限公司（以下简称“</w:t>
      </w:r>
      <w:r>
        <w:rPr>
          <w:rFonts w:hint="eastAsia" w:ascii="微软雅黑" w:hAnsi="微软雅黑" w:eastAsia="微软雅黑"/>
          <w:sz w:val="28"/>
          <w:szCs w:val="28"/>
          <w:lang w:val="en-US" w:eastAsia="zh-CN"/>
        </w:rPr>
        <w:t>美信</w:t>
      </w:r>
      <w:r>
        <w:rPr>
          <w:rFonts w:ascii="微软雅黑" w:hAnsi="微软雅黑" w:eastAsia="微软雅黑"/>
          <w:sz w:val="28"/>
          <w:szCs w:val="28"/>
          <w:lang w:val="en-US" w:eastAsia="zh-CN"/>
        </w:rPr>
        <w:t>铝业”）</w:t>
      </w:r>
      <w:r>
        <w:rPr>
          <w:rFonts w:hint="eastAsia" w:ascii="微软雅黑" w:hAnsi="微软雅黑" w:eastAsia="微软雅黑"/>
          <w:sz w:val="28"/>
          <w:szCs w:val="28"/>
          <w:lang w:val="en-US" w:eastAsia="zh-CN"/>
        </w:rPr>
        <w:t>范围内可能出现的火灾、爆炸、触电、机械伤害、灼烫、 物体打击、车辆伤害、中毒窒息、自然灾害、有毒有害气体泄露、突发土壤污染、危险废物污染、其他安全、环境事故以及</w:t>
      </w:r>
      <w:r>
        <w:rPr>
          <w:rFonts w:hint="eastAsia" w:ascii="微软雅黑" w:hAnsi="微软雅黑" w:eastAsia="微软雅黑"/>
          <w:sz w:val="28"/>
          <w:szCs w:val="28"/>
        </w:rPr>
        <w:t>性别歧视</w:t>
      </w:r>
      <w:r>
        <w:rPr>
          <w:rFonts w:hint="eastAsia" w:ascii="微软雅黑" w:hAnsi="微软雅黑" w:eastAsia="微软雅黑"/>
          <w:sz w:val="28"/>
          <w:szCs w:val="28"/>
          <w:lang w:eastAsia="zh-CN"/>
        </w:rPr>
        <w:t>、</w:t>
      </w:r>
      <w:r>
        <w:rPr>
          <w:rFonts w:hint="eastAsia" w:ascii="微软雅黑" w:hAnsi="微软雅黑" w:eastAsia="微软雅黑"/>
          <w:sz w:val="28"/>
          <w:szCs w:val="28"/>
        </w:rPr>
        <w:t>侵犯人权</w:t>
      </w:r>
      <w:r>
        <w:rPr>
          <w:rFonts w:hint="eastAsia" w:ascii="微软雅黑" w:hAnsi="微软雅黑" w:eastAsia="微软雅黑"/>
          <w:sz w:val="28"/>
          <w:szCs w:val="28"/>
          <w:lang w:val="en-US" w:eastAsia="zh-CN"/>
        </w:rPr>
        <w:t>时，作出应急快速反应，实施抢救措施，尽力将损失降到最低限度，减少对环境造成污染、对人员造成伤害和对财产造成损失。最大限度地控制局面，减少国家和企业的经济损失和人员伤亡，保证人员和物品的安全，</w:t>
      </w:r>
      <w:r>
        <w:rPr>
          <w:rFonts w:hint="eastAsia" w:ascii="微软雅黑" w:hAnsi="微软雅黑" w:eastAsia="微软雅黑"/>
          <w:sz w:val="28"/>
          <w:szCs w:val="28"/>
        </w:rPr>
        <w:t>尊重、保护和促进性别平等与人权</w:t>
      </w:r>
      <w:r>
        <w:rPr>
          <w:rFonts w:hint="eastAsia" w:ascii="微软雅黑" w:hAnsi="微软雅黑" w:eastAsia="微软雅黑"/>
          <w:sz w:val="28"/>
          <w:szCs w:val="28"/>
          <w:lang w:val="en-US" w:eastAsia="zh-CN"/>
        </w:rPr>
        <w:t xml:space="preserve">。 </w:t>
      </w:r>
    </w:p>
    <w:p>
      <w:pPr>
        <w:keepNext w:val="0"/>
        <w:keepLines w:val="0"/>
        <w:widowControl/>
        <w:suppressLineNumbers w:val="0"/>
        <w:ind w:firstLine="600" w:firstLineChars="20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30"/>
          <w:szCs w:val="30"/>
          <w:lang w:val="en-US" w:eastAsia="zh-CN" w:bidi="ar"/>
        </w:rPr>
        <w:t>二、环境、危险源辨识及风险分析</w:t>
      </w:r>
      <w:r>
        <w:rPr>
          <w:rFonts w:hint="eastAsia" w:ascii="微软雅黑" w:hAnsi="微软雅黑" w:eastAsia="微软雅黑" w:cs="微软雅黑"/>
          <w:b/>
          <w:bCs/>
          <w:color w:val="000000"/>
          <w:kern w:val="0"/>
          <w:sz w:val="31"/>
          <w:szCs w:val="31"/>
          <w:lang w:val="en-US" w:eastAsia="zh-CN" w:bidi="ar"/>
        </w:rPr>
        <w:t xml:space="preserve"> </w:t>
      </w:r>
    </w:p>
    <w:p>
      <w:pPr>
        <w:keepNext w:val="0"/>
        <w:keepLines w:val="0"/>
        <w:widowControl/>
        <w:suppressLineNumbers w:val="0"/>
        <w:ind w:firstLine="560" w:firstLineChars="200"/>
        <w:jc w:val="left"/>
        <w:rPr>
          <w:rFonts w:hint="eastAsia" w:ascii="微软雅黑" w:hAnsi="微软雅黑" w:eastAsia="微软雅黑"/>
          <w:sz w:val="28"/>
          <w:szCs w:val="28"/>
          <w:lang w:val="en-US" w:eastAsia="zh-CN"/>
        </w:rPr>
      </w:pPr>
      <w:r>
        <w:rPr>
          <w:rFonts w:hint="eastAsia" w:ascii="微软雅黑" w:hAnsi="微软雅黑" w:eastAsia="微软雅黑"/>
          <w:sz w:val="28"/>
          <w:szCs w:val="28"/>
          <w:lang w:val="en-US" w:eastAsia="zh-CN"/>
        </w:rPr>
        <w:t>美信铝业依据《环境因素识别与评价控制程序》、《危险源识别、风险评价和风险控制程序》每年定期(当体系发生重大变更或出现严重缺陷时，会额外增加频次)组织危险源识别和评价，识别到7个重要环境因素、97个不可接受风险，并针对以上风险均制定 相关应急预案等控制措施。</w:t>
      </w:r>
    </w:p>
    <w:p>
      <w:pPr>
        <w:ind w:firstLine="560" w:firstLineChars="200"/>
        <w:rPr>
          <w:rFonts w:hint="eastAsia" w:ascii="微软雅黑" w:hAnsi="微软雅黑" w:eastAsia="微软雅黑"/>
          <w:sz w:val="28"/>
          <w:szCs w:val="28"/>
          <w:lang w:val="en-US" w:eastAsia="zh-CN"/>
        </w:rPr>
      </w:pPr>
      <w:r>
        <w:rPr>
          <w:rFonts w:hint="eastAsia" w:ascii="微软雅黑" w:hAnsi="微软雅黑" w:eastAsia="微软雅黑"/>
          <w:sz w:val="28"/>
          <w:szCs w:val="28"/>
        </w:rPr>
        <w:t>定期对GSHRIMP的实施情况进行评估，包括性别平等与人权状况的改善情况、措施的有效性等。</w:t>
      </w:r>
      <w:r>
        <w:rPr>
          <w:rFonts w:hint="eastAsia" w:ascii="微软雅黑" w:hAnsi="微软雅黑" w:eastAsia="微软雅黑"/>
          <w:sz w:val="28"/>
          <w:szCs w:val="28"/>
          <w:lang w:val="en-US" w:eastAsia="zh-CN"/>
        </w:rPr>
        <w:t xml:space="preserve"> </w:t>
      </w:r>
    </w:p>
    <w:p>
      <w:pPr>
        <w:keepNext w:val="0"/>
        <w:keepLines w:val="0"/>
        <w:widowControl/>
        <w:suppressLineNumbers w:val="0"/>
        <w:ind w:firstLine="600" w:firstLineChars="200"/>
        <w:jc w:val="left"/>
        <w:rPr>
          <w:rFonts w:hint="eastAsia" w:ascii="微软雅黑" w:hAnsi="微软雅黑" w:eastAsia="微软雅黑" w:cs="微软雅黑"/>
          <w:b/>
          <w:bCs/>
          <w:color w:val="000000"/>
          <w:kern w:val="0"/>
          <w:sz w:val="30"/>
          <w:szCs w:val="30"/>
          <w:lang w:val="en-US" w:eastAsia="zh-CN" w:bidi="ar"/>
        </w:rPr>
      </w:pPr>
      <w:r>
        <w:rPr>
          <w:rFonts w:hint="eastAsia" w:ascii="微软雅黑" w:hAnsi="微软雅黑" w:eastAsia="微软雅黑" w:cs="微软雅黑"/>
          <w:b/>
          <w:bCs/>
          <w:color w:val="000000"/>
          <w:kern w:val="0"/>
          <w:sz w:val="30"/>
          <w:szCs w:val="30"/>
          <w:lang w:val="en-US" w:eastAsia="zh-CN" w:bidi="ar"/>
        </w:rPr>
        <w:t xml:space="preserve">三、应急预案及响应计划 </w:t>
      </w:r>
    </w:p>
    <w:p>
      <w:pPr>
        <w:ind w:firstLine="560" w:firstLineChars="200"/>
        <w:jc w:val="left"/>
        <w:rPr>
          <w:rFonts w:hint="eastAsia" w:ascii="微软雅黑" w:hAnsi="微软雅黑" w:eastAsia="微软雅黑"/>
          <w:sz w:val="28"/>
          <w:szCs w:val="28"/>
          <w:lang w:val="en-US" w:eastAsia="zh-CN"/>
        </w:rPr>
      </w:pPr>
      <w:r>
        <w:rPr>
          <w:rFonts w:hint="eastAsia" w:ascii="微软雅黑" w:hAnsi="微软雅黑" w:eastAsia="微软雅黑"/>
          <w:sz w:val="28"/>
          <w:szCs w:val="28"/>
          <w:lang w:val="en-US" w:eastAsia="zh-CN"/>
        </w:rPr>
        <w:t xml:space="preserve">美信铝业分别制定环境应急和安全应急预案，均在当地政府备案。 </w:t>
      </w:r>
    </w:p>
    <w:p>
      <w:pPr>
        <w:ind w:firstLine="560" w:firstLineChars="200"/>
        <w:jc w:val="left"/>
        <w:rPr>
          <w:rFonts w:hint="eastAsia" w:ascii="仿宋" w:hAnsi="仿宋" w:eastAsia="仿宋" w:cs="仿宋"/>
          <w:color w:val="000000"/>
          <w:kern w:val="0"/>
          <w:sz w:val="31"/>
          <w:szCs w:val="31"/>
          <w:lang w:val="en-US" w:eastAsia="zh-CN" w:bidi="ar"/>
        </w:rPr>
      </w:pPr>
      <w:r>
        <w:rPr>
          <w:rFonts w:hint="eastAsia" w:ascii="微软雅黑" w:hAnsi="微软雅黑" w:eastAsia="微软雅黑"/>
          <w:sz w:val="28"/>
          <w:szCs w:val="28"/>
          <w:lang w:val="en-US" w:eastAsia="zh-CN"/>
        </w:rPr>
        <w:t>对周边环境影响较大的村庄进行风险告知，并制定应急联动方案进行张贴。告知周边村民可能发生的风险及应急处置措施</w:t>
      </w:r>
      <w:r>
        <w:rPr>
          <w:rFonts w:hint="eastAsia" w:ascii="仿宋" w:hAnsi="仿宋" w:eastAsia="仿宋" w:cs="仿宋"/>
          <w:color w:val="000000"/>
          <w:kern w:val="0"/>
          <w:sz w:val="31"/>
          <w:szCs w:val="31"/>
          <w:lang w:val="en-US" w:eastAsia="zh-CN" w:bidi="ar"/>
        </w:rPr>
        <w:t>。</w:t>
      </w:r>
    </w:p>
    <w:p>
      <w:pPr>
        <w:ind w:firstLine="560" w:firstLineChars="200"/>
        <w:jc w:val="left"/>
        <w:rPr>
          <w:rFonts w:hint="default" w:ascii="仿宋" w:hAnsi="仿宋" w:eastAsia="仿宋" w:cs="仿宋"/>
          <w:color w:val="000000"/>
          <w:kern w:val="0"/>
          <w:sz w:val="31"/>
          <w:szCs w:val="31"/>
          <w:lang w:val="en-US" w:eastAsia="zh-CN" w:bidi="ar"/>
        </w:rPr>
      </w:pPr>
      <w:r>
        <w:rPr>
          <w:rFonts w:hint="eastAsia" w:ascii="微软雅黑" w:hAnsi="微软雅黑" w:eastAsia="微软雅黑"/>
          <w:sz w:val="28"/>
          <w:szCs w:val="28"/>
        </w:rPr>
        <w:t>定期发布性别平等与人权保护方面的信息，提高公众意识和参与度。</w:t>
      </w:r>
    </w:p>
    <w:p>
      <w:pPr>
        <w:keepNext w:val="0"/>
        <w:keepLines w:val="0"/>
        <w:widowControl/>
        <w:suppressLineNumbers w:val="0"/>
        <w:ind w:firstLine="600" w:firstLineChars="200"/>
        <w:jc w:val="left"/>
        <w:rPr>
          <w:rFonts w:hint="eastAsia" w:ascii="微软雅黑" w:hAnsi="微软雅黑" w:eastAsia="微软雅黑" w:cs="微软雅黑"/>
          <w:b/>
          <w:bCs/>
          <w:color w:val="000000"/>
          <w:kern w:val="0"/>
          <w:sz w:val="30"/>
          <w:szCs w:val="30"/>
          <w:lang w:val="en-US" w:eastAsia="zh-CN" w:bidi="ar"/>
        </w:rPr>
      </w:pPr>
      <w:r>
        <w:rPr>
          <w:rFonts w:hint="eastAsia" w:ascii="微软雅黑" w:hAnsi="微软雅黑" w:eastAsia="微软雅黑" w:cs="微软雅黑"/>
          <w:b/>
          <w:bCs/>
          <w:color w:val="000000"/>
          <w:kern w:val="0"/>
          <w:sz w:val="30"/>
          <w:szCs w:val="30"/>
          <w:lang w:val="en-US" w:eastAsia="zh-CN" w:bidi="ar"/>
        </w:rPr>
        <w:t xml:space="preserve">四、保障措施 </w:t>
      </w:r>
    </w:p>
    <w:p>
      <w:pPr>
        <w:ind w:firstLine="560" w:firstLineChars="200"/>
        <w:jc w:val="left"/>
        <w:rPr>
          <w:rFonts w:hint="eastAsia" w:ascii="微软雅黑" w:hAnsi="微软雅黑" w:eastAsia="微软雅黑"/>
          <w:sz w:val="28"/>
          <w:szCs w:val="28"/>
          <w:lang w:val="en-US" w:eastAsia="zh-CN"/>
        </w:rPr>
      </w:pPr>
      <w:r>
        <w:rPr>
          <w:rFonts w:hint="eastAsia" w:ascii="微软雅黑" w:hAnsi="微软雅黑" w:eastAsia="微软雅黑"/>
          <w:sz w:val="28"/>
          <w:szCs w:val="28"/>
          <w:lang w:val="en-US" w:eastAsia="zh-CN"/>
        </w:rPr>
        <w:t xml:space="preserve">1、公司每年严格按照环境和职业健康安全应急预案组织相关人员进行应急演练，确保相关人员及时应对突发事件和应急预案的有效性。 </w:t>
      </w:r>
    </w:p>
    <w:p>
      <w:pPr>
        <w:ind w:firstLine="560" w:firstLineChars="200"/>
        <w:rPr>
          <w:rFonts w:hint="default" w:ascii="微软雅黑" w:hAnsi="微软雅黑" w:eastAsia="微软雅黑"/>
          <w:sz w:val="28"/>
          <w:szCs w:val="28"/>
          <w:lang w:val="en-US" w:eastAsia="zh-CN"/>
        </w:rPr>
      </w:pPr>
      <w:r>
        <w:rPr>
          <w:rFonts w:hint="eastAsia" w:ascii="微软雅黑" w:hAnsi="微软雅黑" w:eastAsia="微软雅黑"/>
          <w:sz w:val="28"/>
          <w:szCs w:val="28"/>
          <w:lang w:val="en-US" w:eastAsia="zh-CN"/>
        </w:rPr>
        <w:t>2、对</w:t>
      </w:r>
      <w:r>
        <w:rPr>
          <w:rFonts w:hint="eastAsia" w:ascii="微软雅黑" w:hAnsi="微软雅黑" w:eastAsia="微软雅黑"/>
          <w:sz w:val="28"/>
          <w:szCs w:val="28"/>
        </w:rPr>
        <w:t>相关人员进行性别平等与人权培训，提高其对性别敏感性和人权问题的认识</w:t>
      </w:r>
      <w:r>
        <w:rPr>
          <w:rFonts w:hint="eastAsia" w:ascii="微软雅黑" w:hAnsi="微软雅黑" w:eastAsia="微软雅黑"/>
          <w:sz w:val="28"/>
          <w:szCs w:val="28"/>
          <w:lang w:eastAsia="zh-CN"/>
        </w:rPr>
        <w:t>，</w:t>
      </w:r>
      <w:r>
        <w:rPr>
          <w:rFonts w:hint="eastAsia" w:ascii="微软雅黑" w:hAnsi="微软雅黑" w:eastAsia="微软雅黑"/>
          <w:sz w:val="28"/>
          <w:szCs w:val="28"/>
        </w:rPr>
        <w:t>建立有效的监测和评估机制，定期跟踪性别平等与人权状况，及时发现并解决问题</w:t>
      </w:r>
    </w:p>
    <w:p>
      <w:pPr>
        <w:ind w:firstLine="560" w:firstLineChars="200"/>
        <w:jc w:val="left"/>
      </w:pPr>
      <w:r>
        <w:rPr>
          <w:rFonts w:hint="eastAsia" w:ascii="微软雅黑" w:hAnsi="微软雅黑" w:eastAsia="微软雅黑"/>
          <w:sz w:val="28"/>
          <w:szCs w:val="28"/>
          <w:lang w:val="en-US" w:eastAsia="zh-CN"/>
        </w:rPr>
        <w:t>3、当公司环境、危险源影响到员工及当地村民和出现</w:t>
      </w:r>
      <w:r>
        <w:rPr>
          <w:rFonts w:hint="eastAsia" w:ascii="微软雅黑" w:hAnsi="微软雅黑" w:eastAsia="微软雅黑"/>
          <w:sz w:val="28"/>
          <w:szCs w:val="28"/>
        </w:rPr>
        <w:t>性别歧视和侵犯人权</w:t>
      </w:r>
      <w:r>
        <w:rPr>
          <w:rFonts w:hint="eastAsia" w:ascii="微软雅黑" w:hAnsi="微软雅黑" w:eastAsia="微软雅黑"/>
          <w:sz w:val="28"/>
          <w:szCs w:val="28"/>
          <w:lang w:val="en-US" w:eastAsia="zh-CN"/>
        </w:rPr>
        <w:t>时，可通过实名或匿名的方式进行举报，美信铝业严格保密举报人的所有信息。公司收到举报后，调查人会严格保密信息，确保举报人的安全。可通过如下渠道提出疑问和举报：</w:t>
      </w:r>
      <w:r>
        <w:rPr>
          <w:rFonts w:hint="eastAsia" w:ascii="仿宋" w:hAnsi="仿宋" w:eastAsia="仿宋" w:cs="仿宋"/>
          <w:color w:val="000000"/>
          <w:kern w:val="0"/>
          <w:sz w:val="31"/>
          <w:szCs w:val="31"/>
          <w:lang w:val="en-US" w:eastAsia="zh-CN" w:bidi="ar"/>
        </w:rPr>
        <w:t xml:space="preserve"> </w:t>
      </w:r>
    </w:p>
    <w:p>
      <w:pPr>
        <w:jc w:val="both"/>
        <w:rPr>
          <w:rFonts w:hint="eastAsia" w:ascii="微软雅黑" w:hAnsi="微软雅黑" w:eastAsia="微软雅黑"/>
          <w:b/>
          <w:bCs/>
          <w:sz w:val="44"/>
          <w:szCs w:val="44"/>
        </w:rPr>
      </w:pPr>
      <w:r>
        <w:rPr>
          <w:rFonts w:ascii="微软雅黑" w:hAnsi="微软雅黑" w:eastAsia="微软雅黑"/>
          <w:sz w:val="28"/>
          <w:szCs w:val="28"/>
        </w:rPr>
        <w:t>公司举报热线:</w:t>
      </w:r>
      <w:r>
        <w:rPr>
          <w:rFonts w:hint="eastAsia" w:ascii="微软雅黑" w:hAnsi="微软雅黑" w:eastAsia="微软雅黑"/>
          <w:sz w:val="28"/>
          <w:szCs w:val="28"/>
          <w:lang w:val="en-US" w:eastAsia="zh-CN"/>
        </w:rPr>
        <w:t xml:space="preserve"> </w:t>
      </w:r>
      <w:r>
        <w:rPr>
          <w:rFonts w:ascii="微软雅黑" w:hAnsi="微软雅黑" w:eastAsia="微软雅黑"/>
          <w:sz w:val="28"/>
          <w:szCs w:val="28"/>
        </w:rPr>
        <w:t xml:space="preserve">0561-7976888；举报邮箱: </w:t>
      </w:r>
      <w:r>
        <w:rPr>
          <w:rFonts w:ascii="微软雅黑" w:hAnsi="微软雅黑" w:eastAsia="微软雅黑"/>
          <w:sz w:val="28"/>
          <w:szCs w:val="28"/>
        </w:rPr>
        <w:fldChar w:fldCharType="begin"/>
      </w:r>
      <w:r>
        <w:rPr>
          <w:rFonts w:ascii="微软雅黑" w:hAnsi="微软雅黑" w:eastAsia="微软雅黑"/>
          <w:sz w:val="28"/>
          <w:szCs w:val="28"/>
        </w:rPr>
        <w:instrText xml:space="preserve"> HYPERLINK "mailto:zml@zjalufoil.com" </w:instrText>
      </w:r>
      <w:r>
        <w:rPr>
          <w:rFonts w:ascii="微软雅黑" w:hAnsi="微软雅黑" w:eastAsia="微软雅黑"/>
          <w:sz w:val="28"/>
          <w:szCs w:val="28"/>
        </w:rPr>
        <w:fldChar w:fldCharType="separate"/>
      </w:r>
      <w:r>
        <w:rPr>
          <w:rFonts w:ascii="微软雅黑" w:hAnsi="微软雅黑" w:eastAsia="微软雅黑"/>
          <w:sz w:val="28"/>
          <w:szCs w:val="28"/>
        </w:rPr>
        <w:t>zml@zjalufoil.com</w:t>
      </w:r>
      <w:r>
        <w:rPr>
          <w:rFonts w:ascii="微软雅黑" w:hAnsi="微软雅黑" w:eastAsia="微软雅黑"/>
          <w:sz w:val="28"/>
          <w:szCs w:val="28"/>
        </w:rPr>
        <w:fldChar w:fldCharType="end"/>
      </w:r>
    </w:p>
    <w:p>
      <w:pPr>
        <w:rPr>
          <w:rFonts w:hint="eastAsia"/>
        </w:rPr>
      </w:pPr>
    </w:p>
    <w:p>
      <w:pPr>
        <w:rPr>
          <w:rFonts w:ascii="微软雅黑" w:hAnsi="微软雅黑" w:eastAsia="微软雅黑"/>
          <w:sz w:val="28"/>
          <w:szCs w:val="28"/>
        </w:rPr>
      </w:pPr>
    </w:p>
    <w:p>
      <w:pPr>
        <w:rPr>
          <w:rFonts w:ascii="微软雅黑" w:hAnsi="微软雅黑" w:eastAsia="微软雅黑"/>
          <w:sz w:val="28"/>
          <w:szCs w:val="28"/>
        </w:rPr>
      </w:pPr>
      <w:r>
        <w:rPr>
          <w:rFonts w:hint="eastAsia" w:ascii="黑体" w:hAnsi="黑体" w:eastAsia="黑体" w:cs="黑体"/>
          <w:b/>
          <w:sz w:val="30"/>
          <w:szCs w:val="30"/>
        </w:rPr>
        <w:drawing>
          <wp:anchor distT="0" distB="0" distL="114300" distR="114300" simplePos="0" relativeHeight="251659264" behindDoc="1" locked="0" layoutInCell="1" allowOverlap="1">
            <wp:simplePos x="0" y="0"/>
            <wp:positionH relativeFrom="column">
              <wp:posOffset>4525010</wp:posOffset>
            </wp:positionH>
            <wp:positionV relativeFrom="paragraph">
              <wp:posOffset>300990</wp:posOffset>
            </wp:positionV>
            <wp:extent cx="1104265" cy="708660"/>
            <wp:effectExtent l="0" t="0" r="635" b="254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lum bright="17999"/>
                    </a:blip>
                    <a:stretch>
                      <a:fillRect/>
                    </a:stretch>
                  </pic:blipFill>
                  <pic:spPr>
                    <a:xfrm>
                      <a:off x="0" y="0"/>
                      <a:ext cx="1104265" cy="708660"/>
                    </a:xfrm>
                    <a:prstGeom prst="rect">
                      <a:avLst/>
                    </a:prstGeom>
                    <a:noFill/>
                    <a:ln>
                      <a:noFill/>
                    </a:ln>
                  </pic:spPr>
                </pic:pic>
              </a:graphicData>
            </a:graphic>
          </wp:anchor>
        </w:drawing>
      </w:r>
    </w:p>
    <w:p>
      <w:pPr>
        <w:jc w:val="center"/>
        <w:rPr>
          <w:rFonts w:hint="default" w:ascii="微软雅黑" w:hAnsi="微软雅黑" w:eastAsia="微软雅黑"/>
          <w:sz w:val="28"/>
          <w:szCs w:val="28"/>
          <w:lang w:val="en-US" w:eastAsia="zh-CN"/>
        </w:rPr>
      </w:pPr>
      <w:r>
        <w:rPr>
          <w:rFonts w:hint="eastAsia" w:ascii="微软雅黑" w:hAnsi="微软雅黑" w:eastAsia="微软雅黑"/>
          <w:sz w:val="28"/>
          <w:szCs w:val="28"/>
          <w:lang w:val="en-US" w:eastAsia="zh-CN"/>
        </w:rPr>
        <w:t xml:space="preserve">                       总经理：</w:t>
      </w:r>
    </w:p>
    <w:p>
      <w:pPr>
        <w:jc w:val="center"/>
        <w:rPr>
          <w:rFonts w:hint="eastAsia" w:ascii="微软雅黑" w:hAnsi="微软雅黑" w:eastAsia="微软雅黑"/>
          <w:sz w:val="28"/>
          <w:szCs w:val="28"/>
          <w:lang w:val="en-US" w:eastAsia="zh-CN"/>
        </w:rPr>
      </w:pPr>
    </w:p>
    <w:p>
      <w:pPr>
        <w:ind w:firstLine="5600" w:firstLineChars="2000"/>
        <w:rPr>
          <w:rFonts w:hint="eastAsia" w:ascii="微软雅黑" w:hAnsi="微软雅黑" w:eastAsia="微软雅黑"/>
          <w:sz w:val="28"/>
          <w:szCs w:val="28"/>
        </w:rPr>
      </w:pPr>
      <w:r>
        <w:rPr>
          <w:rFonts w:hint="eastAsia" w:ascii="微软雅黑" w:hAnsi="微软雅黑" w:eastAsia="微软雅黑"/>
          <w:sz w:val="28"/>
          <w:szCs w:val="28"/>
          <w:lang w:eastAsia="zh-CN"/>
        </w:rPr>
        <w:t>安徽</w:t>
      </w:r>
      <w:r>
        <w:rPr>
          <w:rFonts w:hint="eastAsia" w:ascii="微软雅黑" w:hAnsi="微软雅黑" w:eastAsia="微软雅黑"/>
          <w:sz w:val="28"/>
          <w:szCs w:val="28"/>
          <w:lang w:val="en-US" w:eastAsia="zh-CN"/>
        </w:rPr>
        <w:t>美信铝业</w:t>
      </w:r>
      <w:r>
        <w:rPr>
          <w:rFonts w:hint="eastAsia" w:ascii="微软雅黑" w:hAnsi="微软雅黑" w:eastAsia="微软雅黑"/>
          <w:sz w:val="28"/>
          <w:szCs w:val="28"/>
        </w:rPr>
        <w:t>有限公司</w:t>
      </w:r>
    </w:p>
    <w:p>
      <w:pPr>
        <w:ind w:firstLine="5880" w:firstLineChars="2100"/>
        <w:rPr>
          <w:rFonts w:hint="eastAsia" w:ascii="微软雅黑" w:hAnsi="微软雅黑" w:eastAsia="微软雅黑"/>
          <w:sz w:val="28"/>
          <w:szCs w:val="28"/>
        </w:rPr>
      </w:pPr>
      <w:r>
        <w:rPr>
          <w:rFonts w:hint="eastAsia" w:ascii="微软雅黑" w:hAnsi="微软雅黑" w:eastAsia="微软雅黑"/>
          <w:sz w:val="28"/>
          <w:szCs w:val="28"/>
        </w:rPr>
        <w:t>202</w:t>
      </w:r>
      <w:r>
        <w:rPr>
          <w:rFonts w:hint="eastAsia" w:ascii="微软雅黑" w:hAnsi="微软雅黑" w:eastAsia="微软雅黑"/>
          <w:sz w:val="28"/>
          <w:szCs w:val="28"/>
          <w:lang w:val="en-US" w:eastAsia="zh-CN"/>
        </w:rPr>
        <w:t>5</w:t>
      </w:r>
      <w:bookmarkStart w:id="0" w:name="_GoBack"/>
      <w:bookmarkEnd w:id="0"/>
      <w:r>
        <w:rPr>
          <w:rFonts w:hint="eastAsia" w:ascii="微软雅黑" w:hAnsi="微软雅黑" w:eastAsia="微软雅黑"/>
          <w:sz w:val="28"/>
          <w:szCs w:val="28"/>
        </w:rPr>
        <w:t>年</w:t>
      </w:r>
      <w:r>
        <w:rPr>
          <w:rFonts w:hint="eastAsia" w:ascii="微软雅黑" w:hAnsi="微软雅黑" w:eastAsia="微软雅黑"/>
          <w:sz w:val="28"/>
          <w:szCs w:val="28"/>
          <w:lang w:val="en-US" w:eastAsia="zh-CN"/>
        </w:rPr>
        <w:t>02</w:t>
      </w:r>
      <w:r>
        <w:rPr>
          <w:rFonts w:hint="eastAsia" w:ascii="微软雅黑" w:hAnsi="微软雅黑" w:eastAsia="微软雅黑"/>
          <w:sz w:val="28"/>
          <w:szCs w:val="28"/>
        </w:rPr>
        <w:t>月</w:t>
      </w:r>
      <w:r>
        <w:rPr>
          <w:rFonts w:hint="eastAsia" w:ascii="微软雅黑" w:hAnsi="微软雅黑" w:eastAsia="微软雅黑"/>
          <w:sz w:val="28"/>
          <w:szCs w:val="28"/>
          <w:lang w:val="en-US" w:eastAsia="zh-CN"/>
        </w:rPr>
        <w:t>0</w:t>
      </w:r>
      <w:r>
        <w:rPr>
          <w:rFonts w:ascii="微软雅黑" w:hAnsi="微软雅黑" w:eastAsia="微软雅黑"/>
          <w:sz w:val="28"/>
          <w:szCs w:val="28"/>
        </w:rPr>
        <w:t>1</w:t>
      </w:r>
      <w:r>
        <w:rPr>
          <w:rFonts w:hint="eastAsia" w:ascii="微软雅黑" w:hAnsi="微软雅黑" w:eastAsia="微软雅黑"/>
          <w:sz w:val="28"/>
          <w:szCs w:val="28"/>
        </w:rPr>
        <w:t>日</w:t>
      </w:r>
    </w:p>
    <w:sectPr>
      <w:pgSz w:w="11906" w:h="16838"/>
      <w:pgMar w:top="720" w:right="890" w:bottom="720" w:left="89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1MGMyMzA1MWY4NDNiMzhhZWFmNmM4MWVjMGFjZTYifQ=="/>
  </w:docVars>
  <w:rsids>
    <w:rsidRoot w:val="0032233B"/>
    <w:rsid w:val="0032233B"/>
    <w:rsid w:val="00A2451C"/>
    <w:rsid w:val="00F7750D"/>
    <w:rsid w:val="074C4B1A"/>
    <w:rsid w:val="19533BB0"/>
    <w:rsid w:val="1CFA16FF"/>
    <w:rsid w:val="235D5452"/>
    <w:rsid w:val="259E1047"/>
    <w:rsid w:val="260320B2"/>
    <w:rsid w:val="3C484A45"/>
    <w:rsid w:val="5D7A1978"/>
    <w:rsid w:val="5F896023"/>
    <w:rsid w:val="69AA1664"/>
    <w:rsid w:val="6F5F3B2A"/>
    <w:rsid w:val="75764262"/>
    <w:rsid w:val="779E738A"/>
    <w:rsid w:val="7B6C4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839</Words>
  <Characters>878</Characters>
  <Lines>6</Lines>
  <Paragraphs>1</Paragraphs>
  <TotalTime>0</TotalTime>
  <ScaleCrop>false</ScaleCrop>
  <LinksUpToDate>false</LinksUpToDate>
  <CharactersWithSpaces>914</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2023-07-27T09:37:00Z</dcterms:created>
  <dc:creator>广志 曹</dc:creator>
  <cp:lastModifiedBy>周鹏云</cp:lastModifiedBy>
  <cp:lastPrinted>2023-10-17T06:12:00Z</cp:lastPrinted>
  <dcterms:modified xsi:type="dcterms:W3CDTF">2025-08-29T07:24:30Z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D3E79CA87EC649B394297F86E6D08E2F_12</vt:lpwstr>
  </property>
</Properties>
</file>