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napToGrid w:val="0"/>
        <w:spacing w:before="0" w:after="0" w:line="240" w:lineRule="auto"/>
        <w:jc w:val="center"/>
        <w:rPr>
          <w:rFonts w:hint="default" w:ascii="微软雅黑" w:hAnsi="微软雅黑" w:eastAsia="微软雅黑"/>
          <w:b/>
          <w:bCs/>
          <w:color w:val="auto"/>
          <w:sz w:val="44"/>
          <w:szCs w:val="44"/>
          <w:u w:val="none"/>
          <w:lang w:val="en-US" w:eastAsia="zh-CN"/>
        </w:rPr>
      </w:pPr>
      <w:r>
        <w:rPr>
          <w:rFonts w:hint="eastAsia" w:ascii="微软雅黑" w:hAnsi="微软雅黑" w:eastAsia="微软雅黑"/>
          <w:b/>
          <w:bCs/>
          <w:color w:val="auto"/>
          <w:sz w:val="44"/>
          <w:szCs w:val="44"/>
          <w:u w:val="none"/>
          <w:lang w:val="en-US" w:eastAsia="zh-CN"/>
        </w:rPr>
        <w:t>安徽美信铝业有限公司</w:t>
      </w:r>
    </w:p>
    <w:p>
      <w:pPr>
        <w:pStyle w:val="2"/>
        <w:shd w:val="clear" w:color="auto" w:fill="FFFFFF"/>
        <w:snapToGrid w:val="0"/>
        <w:spacing w:before="0" w:after="0" w:line="240" w:lineRule="auto"/>
        <w:jc w:val="center"/>
        <w:rPr>
          <w:rFonts w:hint="eastAsia" w:ascii="微软雅黑" w:hAnsi="微软雅黑" w:eastAsia="微软雅黑"/>
          <w:b/>
          <w:bCs/>
          <w:color w:val="auto"/>
          <w:szCs w:val="21"/>
          <w:u w:val="none"/>
        </w:rPr>
      </w:pPr>
      <w:r>
        <w:rPr>
          <w:rFonts w:hint="eastAsia" w:ascii="微软雅黑" w:hAnsi="微软雅黑" w:eastAsia="微软雅黑"/>
          <w:b/>
          <w:bCs/>
          <w:color w:val="auto"/>
          <w:sz w:val="32"/>
          <w:szCs w:val="32"/>
          <w:u w:val="none"/>
        </w:rPr>
        <w:t>环境和社会影响评价汇总</w:t>
      </w:r>
    </w:p>
    <w:tbl>
      <w:tblPr>
        <w:tblStyle w:val="9"/>
        <w:tblW w:w="145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7"/>
        <w:gridCol w:w="120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</w:trPr>
        <w:tc>
          <w:tcPr>
            <w:tcW w:w="2547" w:type="dxa"/>
          </w:tcPr>
          <w:p>
            <w:pPr>
              <w:pStyle w:val="7"/>
              <w:snapToGrid w:val="0"/>
              <w:spacing w:before="0" w:beforeAutospacing="0" w:after="0" w:afterAutospacing="0"/>
              <w:jc w:val="center"/>
              <w:rPr>
                <w:rFonts w:hint="eastAsia" w:ascii="微软雅黑" w:hAnsi="微软雅黑" w:eastAsia="微软雅黑" w:cs="Arial"/>
                <w:b/>
                <w:bCs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Arial"/>
                <w:b/>
                <w:bCs/>
                <w:sz w:val="21"/>
                <w:szCs w:val="21"/>
              </w:rPr>
              <w:t>评价类型</w:t>
            </w:r>
          </w:p>
        </w:tc>
        <w:tc>
          <w:tcPr>
            <w:tcW w:w="12049" w:type="dxa"/>
          </w:tcPr>
          <w:p>
            <w:pPr>
              <w:snapToGrid w:val="0"/>
              <w:jc w:val="center"/>
              <w:rPr>
                <w:rFonts w:hint="eastAsia" w:ascii="微软雅黑" w:hAnsi="微软雅黑" w:eastAsia="微软雅黑"/>
                <w:b/>
                <w:bCs/>
                <w:szCs w:val="21"/>
              </w:rPr>
            </w:pPr>
            <w:r>
              <w:rPr>
                <w:rFonts w:ascii="微软雅黑" w:hAnsi="微软雅黑" w:eastAsia="微软雅黑"/>
                <w:b/>
                <w:bCs/>
                <w:szCs w:val="21"/>
              </w:rPr>
              <w:t>评价结论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7" w:type="dxa"/>
            <w:vMerge w:val="restart"/>
          </w:tcPr>
          <w:p>
            <w:pPr>
              <w:pStyle w:val="7"/>
              <w:snapToGrid w:val="0"/>
              <w:spacing w:before="0" w:beforeAutospacing="0" w:after="0" w:afterAutospacing="0"/>
              <w:jc w:val="both"/>
              <w:rPr>
                <w:rFonts w:hint="eastAsia" w:ascii="微软雅黑" w:hAnsi="微软雅黑" w:eastAsia="微软雅黑" w:cs="Arial"/>
                <w:sz w:val="21"/>
                <w:szCs w:val="21"/>
              </w:rPr>
            </w:pPr>
            <w:bookmarkStart w:id="0" w:name="_GoBack"/>
            <w:r>
              <w:rPr>
                <w:rFonts w:hint="eastAsia" w:ascii="微软雅黑" w:hAnsi="微软雅黑" w:eastAsia="微软雅黑" w:cs="Arial"/>
                <w:sz w:val="21"/>
                <w:szCs w:val="21"/>
              </w:rPr>
              <w:t>环境影响评价</w:t>
            </w:r>
          </w:p>
          <w:bookmarkEnd w:id="0"/>
          <w:p>
            <w:pPr>
              <w:pStyle w:val="7"/>
              <w:snapToGrid w:val="0"/>
              <w:spacing w:before="0" w:beforeAutospacing="0" w:after="0" w:afterAutospacing="0"/>
              <w:jc w:val="both"/>
              <w:rPr>
                <w:rFonts w:hint="eastAsia" w:ascii="微软雅黑" w:hAnsi="微软雅黑" w:eastAsia="微软雅黑" w:cs="Arial"/>
                <w:sz w:val="21"/>
                <w:szCs w:val="21"/>
              </w:rPr>
            </w:pPr>
          </w:p>
          <w:p>
            <w:pPr>
              <w:pStyle w:val="7"/>
              <w:snapToGrid w:val="0"/>
              <w:spacing w:before="0" w:beforeAutospacing="0" w:after="0" w:afterAutospacing="0"/>
              <w:jc w:val="both"/>
              <w:rPr>
                <w:rFonts w:hint="default" w:ascii="微软雅黑" w:hAnsi="微软雅黑" w:eastAsia="微软雅黑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Arial"/>
                <w:sz w:val="21"/>
                <w:szCs w:val="21"/>
              </w:rPr>
              <w:t>评价日期：</w:t>
            </w:r>
            <w:r>
              <w:rPr>
                <w:rFonts w:hint="eastAsia" w:ascii="微软雅黑" w:hAnsi="微软雅黑" w:eastAsia="微软雅黑" w:cs="Arial"/>
                <w:sz w:val="21"/>
                <w:szCs w:val="21"/>
                <w:lang w:val="en-US" w:eastAsia="zh-CN"/>
              </w:rPr>
              <w:t>2011年9月</w:t>
            </w:r>
          </w:p>
          <w:p>
            <w:pPr>
              <w:pStyle w:val="7"/>
              <w:snapToGrid w:val="0"/>
              <w:spacing w:before="0" w:beforeAutospacing="0" w:after="0" w:afterAutospacing="0"/>
              <w:jc w:val="both"/>
              <w:rPr>
                <w:rFonts w:hint="eastAsia" w:ascii="微软雅黑" w:hAnsi="微软雅黑" w:eastAsia="微软雅黑" w:cs="Arial"/>
                <w:sz w:val="21"/>
                <w:szCs w:val="21"/>
              </w:rPr>
            </w:pPr>
          </w:p>
        </w:tc>
        <w:tc>
          <w:tcPr>
            <w:tcW w:w="12049" w:type="dxa"/>
          </w:tcPr>
          <w:p>
            <w:pPr>
              <w:snapToGrid w:val="0"/>
              <w:rPr>
                <w:rFonts w:hint="eastAsia"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 xml:space="preserve">1、大气环境影响评价结论及建议 </w:t>
            </w:r>
          </w:p>
          <w:p>
            <w:pPr>
              <w:snapToGrid w:val="0"/>
              <w:rPr>
                <w:rFonts w:hint="eastAsia" w:ascii="微软雅黑" w:hAnsi="微软雅黑" w:eastAsia="微软雅黑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(</w:t>
            </w:r>
            <w:r>
              <w:rPr>
                <w:rFonts w:ascii="微软雅黑" w:hAnsi="微软雅黑" w:eastAsia="微软雅黑"/>
                <w:szCs w:val="21"/>
              </w:rPr>
              <w:t>1</w:t>
            </w:r>
            <w:r>
              <w:rPr>
                <w:rFonts w:hint="eastAsia" w:ascii="微软雅黑" w:hAnsi="微软雅黑" w:eastAsia="微软雅黑"/>
                <w:szCs w:val="21"/>
              </w:rPr>
              <w:t>)经预测，项目新增污染源的污染物</w:t>
            </w:r>
            <w:r>
              <w:rPr>
                <w:rFonts w:ascii="微软雅黑" w:hAnsi="微软雅黑" w:eastAsia="微软雅黑"/>
                <w:szCs w:val="21"/>
              </w:rPr>
              <w:t>SO</w:t>
            </w:r>
            <w:r>
              <w:rPr>
                <w:rFonts w:ascii="微软雅黑" w:hAnsi="微软雅黑" w:eastAsia="微软雅黑"/>
                <w:szCs w:val="21"/>
                <w:vertAlign w:val="subscript"/>
              </w:rPr>
              <w:t>2</w:t>
            </w:r>
            <w:r>
              <w:rPr>
                <w:rFonts w:hint="eastAsia" w:ascii="微软雅黑" w:hAnsi="微软雅黑" w:eastAsia="微软雅黑"/>
                <w:szCs w:val="21"/>
              </w:rPr>
              <w:t>、</w:t>
            </w:r>
            <w:r>
              <w:rPr>
                <w:rFonts w:ascii="微软雅黑" w:hAnsi="微软雅黑" w:eastAsia="微软雅黑"/>
                <w:szCs w:val="21"/>
              </w:rPr>
              <w:t>NOx</w:t>
            </w:r>
            <w:r>
              <w:rPr>
                <w:rFonts w:hint="eastAsia" w:ascii="微软雅黑" w:hAnsi="微软雅黑" w:eastAsia="微软雅黑"/>
                <w:szCs w:val="21"/>
              </w:rPr>
              <w:t>、颗粒物、非甲烷总烃下风向预测浓度较小，对大气环境影响较小</w:t>
            </w:r>
            <w:r>
              <w:rPr>
                <w:rFonts w:hint="eastAsia" w:ascii="微软雅黑" w:hAnsi="微软雅黑" w:eastAsia="微软雅黑"/>
                <w:szCs w:val="21"/>
                <w:lang w:eastAsia="zh-CN"/>
              </w:rPr>
              <w:t>。</w:t>
            </w:r>
          </w:p>
          <w:p>
            <w:pPr>
              <w:snapToGrid w:val="0"/>
              <w:rPr>
                <w:rFonts w:hint="eastAsia"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(</w:t>
            </w:r>
            <w:r>
              <w:rPr>
                <w:rFonts w:ascii="微软雅黑" w:hAnsi="微软雅黑" w:eastAsia="微软雅黑"/>
                <w:szCs w:val="21"/>
              </w:rPr>
              <w:t>2</w:t>
            </w:r>
            <w:r>
              <w:rPr>
                <w:rFonts w:hint="eastAsia" w:ascii="微软雅黑" w:hAnsi="微软雅黑" w:eastAsia="微软雅黑"/>
                <w:szCs w:val="21"/>
              </w:rPr>
              <w:t>)该项目不需设置大气环境防护距离，以车间</w:t>
            </w:r>
            <w:r>
              <w:rPr>
                <w:rFonts w:ascii="微软雅黑" w:hAnsi="微软雅黑" w:eastAsia="微软雅黑"/>
                <w:szCs w:val="21"/>
              </w:rPr>
              <w:t>1</w:t>
            </w:r>
            <w:r>
              <w:rPr>
                <w:rFonts w:hint="eastAsia" w:ascii="微软雅黑" w:hAnsi="微软雅黑" w:eastAsia="微软雅黑"/>
                <w:szCs w:val="21"/>
              </w:rPr>
              <w:t>(本项目所在区域)为边界设置</w:t>
            </w:r>
            <w:r>
              <w:rPr>
                <w:rFonts w:ascii="微软雅黑" w:hAnsi="微软雅黑" w:eastAsia="微软雅黑"/>
                <w:szCs w:val="21"/>
              </w:rPr>
              <w:t>100m</w:t>
            </w:r>
            <w:r>
              <w:rPr>
                <w:rFonts w:hint="eastAsia" w:ascii="微软雅黑" w:hAnsi="微软雅黑" w:eastAsia="微软雅黑"/>
                <w:szCs w:val="21"/>
              </w:rPr>
              <w:t>卫生防护距离，以车间</w:t>
            </w:r>
            <w:r>
              <w:rPr>
                <w:rFonts w:ascii="微软雅黑" w:hAnsi="微软雅黑" w:eastAsia="微软雅黑"/>
                <w:szCs w:val="21"/>
              </w:rPr>
              <w:t>2</w:t>
            </w:r>
            <w:r>
              <w:rPr>
                <w:rFonts w:hint="eastAsia" w:ascii="微软雅黑" w:hAnsi="微软雅黑" w:eastAsia="微软雅黑"/>
                <w:szCs w:val="21"/>
              </w:rPr>
              <w:t>为边界设置</w:t>
            </w:r>
            <w:r>
              <w:rPr>
                <w:rFonts w:ascii="微软雅黑" w:hAnsi="微软雅黑" w:eastAsia="微软雅黑"/>
                <w:szCs w:val="21"/>
              </w:rPr>
              <w:t>50</w:t>
            </w:r>
            <w:r>
              <w:rPr>
                <w:rFonts w:hint="eastAsia" w:ascii="微软雅黑" w:hAnsi="微软雅黑" w:eastAsia="微软雅黑"/>
                <w:szCs w:val="21"/>
              </w:rPr>
              <w:t xml:space="preserve">米卫生防护距离。项目卫生防护距离内无居民区、学校、医院等环境敏感目标。 </w:t>
            </w:r>
          </w:p>
          <w:p>
            <w:pPr>
              <w:snapToGrid w:val="0"/>
              <w:rPr>
                <w:rFonts w:hint="eastAsia"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综上所述，项目选址及总图布置合理可行，采取的污染控制措施可以保证污染物达标排放，卫生防护距离设置满足环保要求，项目废气对外界环境影响很小，所采取的废气治理措施是可行的，大气环境影响可接受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7" w:type="dxa"/>
            <w:vMerge w:val="continue"/>
          </w:tcPr>
          <w:p>
            <w:pPr>
              <w:pStyle w:val="7"/>
              <w:snapToGrid w:val="0"/>
              <w:spacing w:before="0" w:beforeAutospacing="0" w:after="0" w:afterAutospacing="0"/>
              <w:jc w:val="both"/>
              <w:rPr>
                <w:rFonts w:hint="eastAsia" w:ascii="微软雅黑" w:hAnsi="微软雅黑" w:eastAsia="微软雅黑" w:cs="Arial"/>
                <w:sz w:val="21"/>
                <w:szCs w:val="21"/>
              </w:rPr>
            </w:pPr>
          </w:p>
        </w:tc>
        <w:tc>
          <w:tcPr>
            <w:tcW w:w="12049" w:type="dxa"/>
          </w:tcPr>
          <w:p>
            <w:pPr>
              <w:snapToGrid w:val="0"/>
              <w:rPr>
                <w:rFonts w:hint="eastAsia"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2、地表水环境影响评价</w:t>
            </w:r>
          </w:p>
          <w:p>
            <w:pPr>
              <w:snapToGrid w:val="0"/>
              <w:rPr>
                <w:rFonts w:hint="eastAsia" w:ascii="微软雅黑" w:hAnsi="微软雅黑" w:eastAsia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>本项目产生的废水包括生产废水、生活污水。</w:t>
            </w:r>
          </w:p>
          <w:p>
            <w:pPr>
              <w:numPr>
                <w:ilvl w:val="0"/>
                <w:numId w:val="1"/>
              </w:numPr>
              <w:snapToGrid w:val="0"/>
              <w:rPr>
                <w:rFonts w:hint="eastAsia" w:ascii="微软雅黑" w:hAnsi="微软雅黑" w:eastAsia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>生产废水：主要为超型铸轧机组和冷轧机组冷却水，经冷却后循环使用。</w:t>
            </w:r>
          </w:p>
          <w:p>
            <w:pPr>
              <w:numPr>
                <w:ilvl w:val="0"/>
                <w:numId w:val="1"/>
              </w:numPr>
              <w:snapToGrid w:val="0"/>
              <w:rPr>
                <w:rFonts w:hint="eastAsia" w:ascii="微软雅黑" w:hAnsi="微软雅黑" w:eastAsia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>生活污水：</w:t>
            </w:r>
            <w:r>
              <w:rPr>
                <w:rFonts w:hint="eastAsia" w:ascii="微软雅黑" w:hAnsi="微软雅黑" w:eastAsia="微软雅黑"/>
                <w:szCs w:val="21"/>
              </w:rPr>
              <w:t>员工宿舍生活污水，产生量约20t/d，企业废水经污水管网排入濉溪开发区污水处理厂后处理，达标排放，每年委托有资质单位对本公司的废水进行检测，结果都是达标排放</w:t>
            </w:r>
            <w:r>
              <w:rPr>
                <w:rFonts w:hint="eastAsia" w:ascii="微软雅黑" w:hAnsi="微软雅黑" w:eastAsia="微软雅黑"/>
                <w:szCs w:val="21"/>
                <w:lang w:eastAsia="zh-CN"/>
              </w:rPr>
              <w:t>。</w:t>
            </w:r>
          </w:p>
          <w:p>
            <w:pPr>
              <w:snapToGrid w:val="0"/>
              <w:rPr>
                <w:rFonts w:hint="eastAsia"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>综上所述，本项目对</w:t>
            </w:r>
            <w:r>
              <w:rPr>
                <w:rFonts w:hint="eastAsia" w:ascii="微软雅黑" w:hAnsi="微软雅黑" w:eastAsia="微软雅黑"/>
                <w:szCs w:val="21"/>
              </w:rPr>
              <w:t>地表水环境影响</w:t>
            </w: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>较低。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7" w:type="dxa"/>
            <w:vMerge w:val="continue"/>
          </w:tcPr>
          <w:p>
            <w:pPr>
              <w:pStyle w:val="7"/>
              <w:snapToGrid w:val="0"/>
              <w:spacing w:before="0" w:beforeAutospacing="0" w:after="0" w:afterAutospacing="0"/>
              <w:jc w:val="both"/>
              <w:rPr>
                <w:rFonts w:hint="eastAsia" w:ascii="微软雅黑" w:hAnsi="微软雅黑" w:eastAsia="微软雅黑" w:cs="Arial"/>
                <w:sz w:val="21"/>
                <w:szCs w:val="21"/>
              </w:rPr>
            </w:pPr>
          </w:p>
        </w:tc>
        <w:tc>
          <w:tcPr>
            <w:tcW w:w="12049" w:type="dxa"/>
          </w:tcPr>
          <w:p>
            <w:pPr>
              <w:snapToGrid w:val="0"/>
              <w:rPr>
                <w:rFonts w:hint="eastAsia"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3、固体废物环境影响评价</w:t>
            </w:r>
          </w:p>
          <w:p>
            <w:pPr>
              <w:snapToGrid w:val="0"/>
              <w:rPr>
                <w:rFonts w:hint="eastAsia"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(</w:t>
            </w:r>
            <w:r>
              <w:rPr>
                <w:rFonts w:ascii="微软雅黑" w:hAnsi="微软雅黑" w:eastAsia="微软雅黑"/>
                <w:szCs w:val="21"/>
              </w:rPr>
              <w:t>1)</w:t>
            </w:r>
            <w:r>
              <w:rPr>
                <w:rFonts w:hint="eastAsia" w:ascii="微软雅黑" w:hAnsi="微软雅黑" w:eastAsia="微软雅黑"/>
                <w:szCs w:val="21"/>
              </w:rPr>
              <w:t>固体废物的收集、堆放、贮存对环境的影响</w:t>
            </w:r>
          </w:p>
          <w:p>
            <w:pPr>
              <w:snapToGrid w:val="0"/>
              <w:rPr>
                <w:rFonts w:hint="eastAsia"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项目</w:t>
            </w: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>本项目产生的固体废物主要为熔渣、铝灰、废轧制油、废过滤介质、加工过</w:t>
            </w:r>
            <w:r>
              <w:rPr>
                <w:rFonts w:hint="default" w:ascii="微软雅黑" w:hAnsi="微软雅黑" w:eastAsia="微软雅黑"/>
                <w:szCs w:val="21"/>
                <w:lang w:val="en-US" w:eastAsia="zh-CN"/>
              </w:rPr>
              <w:t>程产生的边角废料及生活垃圾。</w:t>
            </w:r>
            <w:r>
              <w:rPr>
                <w:rFonts w:hint="eastAsia" w:ascii="微软雅黑" w:hAnsi="微软雅黑" w:eastAsia="微软雅黑"/>
                <w:szCs w:val="21"/>
              </w:rPr>
              <w:t>鉴别为危险废物，则需委托有资质单位进行处理，鉴别为一般固废，则按一般固废进行处理处置。项目固废废物分类收集、贮存，危险废物与一般工业固体废物、生活垃圾分开收集、存放。根据废物的种类和形态，本项目在厂区内设置了危废仓库、一般固废仓库。各储存场所均做了符合《危险废物贮存污染控制标准》(</w:t>
            </w:r>
            <w:r>
              <w:rPr>
                <w:rFonts w:ascii="微软雅黑" w:hAnsi="微软雅黑" w:eastAsia="微软雅黑"/>
                <w:szCs w:val="21"/>
              </w:rPr>
              <w:t>GB 18597-2001</w:t>
            </w:r>
            <w:r>
              <w:rPr>
                <w:rFonts w:hint="eastAsia" w:ascii="微软雅黑" w:hAnsi="微软雅黑" w:eastAsia="微软雅黑"/>
                <w:szCs w:val="21"/>
              </w:rPr>
              <w:t>)中要求的防腐防渗措施，企业的危废堆场需按照在线监控设备。建筑材料与危险废物相容，不相互发生反应。危险废物暂存场做到</w:t>
            </w:r>
            <w:r>
              <w:rPr>
                <w:rFonts w:ascii="微软雅黑" w:hAnsi="微软雅黑" w:eastAsia="微软雅黑"/>
                <w:szCs w:val="21"/>
              </w:rPr>
              <w:t>“</w:t>
            </w:r>
            <w:r>
              <w:rPr>
                <w:rFonts w:hint="eastAsia" w:ascii="微软雅黑" w:hAnsi="微软雅黑" w:eastAsia="微软雅黑"/>
                <w:szCs w:val="21"/>
              </w:rPr>
              <w:t>防风、防雨、防晒，防渗漏</w:t>
            </w:r>
            <w:r>
              <w:rPr>
                <w:rFonts w:ascii="微软雅黑" w:hAnsi="微软雅黑" w:eastAsia="微软雅黑"/>
                <w:szCs w:val="21"/>
              </w:rPr>
              <w:t>”</w:t>
            </w:r>
            <w:r>
              <w:rPr>
                <w:rFonts w:hint="eastAsia" w:ascii="微软雅黑" w:hAnsi="微软雅黑" w:eastAsia="微软雅黑"/>
                <w:szCs w:val="21"/>
              </w:rPr>
              <w:t>。正常工况下，不会对环境空气、地表水、地下水、土壤及周边环境保护目标造成影响。因此，项目固体废物的收集、贮存对环境的影响较小。</w:t>
            </w:r>
          </w:p>
          <w:p>
            <w:pPr>
              <w:snapToGrid w:val="0"/>
              <w:rPr>
                <w:rFonts w:hint="eastAsia"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(</w:t>
            </w:r>
            <w:r>
              <w:rPr>
                <w:rFonts w:ascii="微软雅黑" w:hAnsi="微软雅黑" w:eastAsia="微软雅黑"/>
                <w:szCs w:val="21"/>
              </w:rPr>
              <w:t>2)</w:t>
            </w:r>
            <w:r>
              <w:rPr>
                <w:rFonts w:hint="eastAsia" w:ascii="微软雅黑" w:hAnsi="微软雅黑" w:eastAsia="微软雅黑"/>
                <w:szCs w:val="21"/>
              </w:rPr>
              <w:t>包装、运输过程对环境的影响</w:t>
            </w:r>
          </w:p>
          <w:p>
            <w:pPr>
              <w:snapToGrid w:val="0"/>
              <w:rPr>
                <w:rFonts w:hint="eastAsia"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项目各危险固废均按照相应的包装要求进行包装，企业危险固废外运委托有资质的单位进行运输，严格执行《危险废物收集贮存运输技术规范》(</w:t>
            </w:r>
            <w:r>
              <w:rPr>
                <w:rFonts w:ascii="微软雅黑" w:hAnsi="微软雅黑" w:eastAsia="微软雅黑"/>
                <w:szCs w:val="21"/>
              </w:rPr>
              <w:t>HJ 2025-2012</w:t>
            </w:r>
            <w:r>
              <w:rPr>
                <w:rFonts w:hint="eastAsia" w:ascii="微软雅黑" w:hAnsi="微软雅黑" w:eastAsia="微软雅黑"/>
                <w:szCs w:val="21"/>
              </w:rPr>
              <w:t>)和《危险废物转移联单管理办法》，并制定好危险废物转移运输途中的污染防范及事故应急措施，严格按照要求办理有关手续。</w:t>
            </w:r>
          </w:p>
          <w:p>
            <w:pPr>
              <w:snapToGrid w:val="0"/>
              <w:rPr>
                <w:rFonts w:hint="eastAsia"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(</w:t>
            </w:r>
            <w:r>
              <w:rPr>
                <w:rFonts w:ascii="微软雅黑" w:hAnsi="微软雅黑" w:eastAsia="微软雅黑"/>
                <w:szCs w:val="21"/>
              </w:rPr>
              <w:t>3)</w:t>
            </w:r>
            <w:r>
              <w:rPr>
                <w:rFonts w:hint="eastAsia" w:ascii="微软雅黑" w:hAnsi="微软雅黑" w:eastAsia="微软雅黑"/>
                <w:szCs w:val="21"/>
              </w:rPr>
              <w:t xml:space="preserve">固废处理处置环境影响分析 </w:t>
            </w:r>
          </w:p>
          <w:p>
            <w:pPr>
              <w:snapToGrid w:val="0"/>
              <w:rPr>
                <w:rFonts w:hint="eastAsia"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项目生产过程中产生的</w:t>
            </w: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>铝灰渣、除尘灰、</w:t>
            </w:r>
            <w:r>
              <w:rPr>
                <w:rFonts w:hint="eastAsia" w:ascii="微软雅黑" w:hAnsi="微软雅黑" w:eastAsia="微软雅黑"/>
                <w:szCs w:val="21"/>
              </w:rPr>
              <w:t>废</w:t>
            </w: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>矿物</w:t>
            </w:r>
            <w:r>
              <w:rPr>
                <w:rFonts w:hint="eastAsia" w:ascii="微软雅黑" w:hAnsi="微软雅黑" w:eastAsia="微软雅黑"/>
                <w:szCs w:val="21"/>
              </w:rPr>
              <w:t>油、</w:t>
            </w: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>含油硅藻土</w:t>
            </w:r>
            <w:r>
              <w:rPr>
                <w:rFonts w:hint="eastAsia" w:ascii="微软雅黑" w:hAnsi="微软雅黑" w:eastAsia="微软雅黑"/>
                <w:szCs w:val="21"/>
              </w:rPr>
              <w:t>、</w:t>
            </w: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>过滤布</w:t>
            </w:r>
            <w:r>
              <w:rPr>
                <w:rFonts w:hint="eastAsia" w:ascii="微软雅黑" w:hAnsi="微软雅黑" w:eastAsia="微软雅黑"/>
                <w:szCs w:val="21"/>
              </w:rPr>
              <w:t>等均属于《国家危险废物名录》中规定的危险废物，需按国家有关规定进行转移、运输及处置。项目危险废物均委托有资质单位处理处置。</w:t>
            </w:r>
          </w:p>
          <w:p>
            <w:pPr>
              <w:snapToGrid w:val="0"/>
              <w:rPr>
                <w:rFonts w:hint="eastAsia"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危险废物处理严格落实危险固废转移台账管理，危废堆场采取严格的、科学的防渗措施，并落实去处与相关处理处置单位签订危废处置协议，能实现合理处置零排放，不会产生二次污染，对周边环境影响较小。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7" w:type="dxa"/>
            <w:vMerge w:val="continue"/>
          </w:tcPr>
          <w:p>
            <w:pPr>
              <w:pStyle w:val="7"/>
              <w:snapToGrid w:val="0"/>
              <w:spacing w:before="0" w:beforeAutospacing="0" w:after="0" w:afterAutospacing="0"/>
              <w:jc w:val="both"/>
              <w:rPr>
                <w:rFonts w:hint="eastAsia" w:ascii="微软雅黑" w:hAnsi="微软雅黑" w:eastAsia="微软雅黑" w:cs="Arial"/>
                <w:sz w:val="21"/>
                <w:szCs w:val="21"/>
              </w:rPr>
            </w:pPr>
          </w:p>
        </w:tc>
        <w:tc>
          <w:tcPr>
            <w:tcW w:w="12049" w:type="dxa"/>
          </w:tcPr>
          <w:p>
            <w:pPr>
              <w:snapToGrid w:val="0"/>
              <w:rPr>
                <w:rFonts w:hint="eastAsia"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4、噪声环境影响评价</w:t>
            </w:r>
          </w:p>
          <w:p>
            <w:pPr>
              <w:snapToGrid w:val="0"/>
              <w:rPr>
                <w:rFonts w:hint="eastAsia"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本项目噪声源主要为生产设备运行时产生的机械噪声，主要有修磨设备、各种泵、风机等，对噪声源都实施了“厂房隔声、减震”。</w:t>
            </w:r>
          </w:p>
          <w:p>
            <w:pPr>
              <w:snapToGrid w:val="0"/>
              <w:rPr>
                <w:rFonts w:hint="eastAsia"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本项目建成后对东、南、西、北厂界噪声均满足《工业企业厂界噪声排放标准》(</w:t>
            </w:r>
            <w:r>
              <w:rPr>
                <w:rFonts w:ascii="微软雅黑" w:hAnsi="微软雅黑" w:eastAsia="微软雅黑"/>
                <w:szCs w:val="21"/>
              </w:rPr>
              <w:t>GB12348-2008</w:t>
            </w:r>
            <w:r>
              <w:rPr>
                <w:rFonts w:hint="eastAsia" w:ascii="微软雅黑" w:hAnsi="微软雅黑" w:eastAsia="微软雅黑"/>
                <w:szCs w:val="21"/>
              </w:rPr>
              <w:t>)</w:t>
            </w:r>
            <w:r>
              <w:rPr>
                <w:rFonts w:ascii="微软雅黑" w:hAnsi="微软雅黑" w:eastAsia="微软雅黑"/>
                <w:szCs w:val="21"/>
              </w:rPr>
              <w:t>3</w:t>
            </w:r>
            <w:r>
              <w:rPr>
                <w:rFonts w:hint="eastAsia" w:ascii="微软雅黑" w:hAnsi="微软雅黑" w:eastAsia="微软雅黑"/>
                <w:szCs w:val="21"/>
              </w:rPr>
              <w:t>类标准要求。由此可见，本项目的建设对区域声环境影响较小。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7" w:type="dxa"/>
            <w:vMerge w:val="continue"/>
          </w:tcPr>
          <w:p>
            <w:pPr>
              <w:pStyle w:val="7"/>
              <w:snapToGrid w:val="0"/>
              <w:spacing w:before="0" w:beforeAutospacing="0" w:after="0" w:afterAutospacing="0"/>
              <w:jc w:val="both"/>
              <w:rPr>
                <w:rFonts w:hint="eastAsia" w:ascii="微软雅黑" w:hAnsi="微软雅黑" w:eastAsia="微软雅黑" w:cs="Arial"/>
                <w:sz w:val="21"/>
                <w:szCs w:val="21"/>
              </w:rPr>
            </w:pPr>
          </w:p>
        </w:tc>
        <w:tc>
          <w:tcPr>
            <w:tcW w:w="12049" w:type="dxa"/>
          </w:tcPr>
          <w:p>
            <w:pPr>
              <w:snapToGrid w:val="0"/>
              <w:rPr>
                <w:rFonts w:hint="eastAsia"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5、地下水环境影响评价</w:t>
            </w:r>
          </w:p>
          <w:p>
            <w:pPr>
              <w:snapToGrid w:val="0"/>
              <w:rPr>
                <w:rFonts w:hint="eastAsia"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本项目地下水评价等级为三级。</w:t>
            </w:r>
          </w:p>
          <w:p>
            <w:pPr>
              <w:snapToGrid w:val="0"/>
              <w:rPr>
                <w:rFonts w:hint="default" w:ascii="微软雅黑" w:hAnsi="微软雅黑" w:eastAsia="微软雅黑"/>
                <w:szCs w:val="21"/>
                <w:lang w:val="en-US" w:eastAsia="zh-CN"/>
              </w:rPr>
            </w:pPr>
            <w:r>
              <w:rPr>
                <w:rFonts w:hint="default" w:ascii="微软雅黑" w:hAnsi="微软雅黑" w:eastAsia="微软雅黑"/>
                <w:szCs w:val="21"/>
                <w:lang w:val="en-US" w:eastAsia="zh-CN"/>
              </w:rPr>
              <w:t>根据工程所处区域的地质情况，拟建项目可能对下水造成污染的途径主要有：生产车间、垃圾集中箱放置场地等污水下渗对地下水造成的污染。</w:t>
            </w:r>
          </w:p>
          <w:p>
            <w:pPr>
              <w:snapToGrid w:val="0"/>
              <w:rPr>
                <w:rFonts w:hint="eastAsia" w:ascii="微软雅黑" w:hAnsi="微软雅黑" w:eastAsia="微软雅黑"/>
                <w:szCs w:val="21"/>
              </w:rPr>
            </w:pPr>
            <w:r>
              <w:rPr>
                <w:rFonts w:hint="default" w:ascii="微软雅黑" w:hAnsi="微软雅黑" w:eastAsia="微软雅黑"/>
                <w:szCs w:val="21"/>
                <w:lang w:val="en-US" w:eastAsia="zh-CN"/>
              </w:rPr>
              <w:t>该项目重点污染区防渗措施为：生产车间地面采取粘土铺底，再在上层铺设10-15cm 的水泥进行硬化，并铺环氧树脂防渗；循环水池均用水泥硬化，四周壁用砖砌再用水泥硬化防渗，全池涂环氧树脂防腐防渗。通过上述措施可使重点污 染区各单元防渗层渗透系数≤10-10cm/s。 一般污染区防渗措施：生产工段地面、生产区路面、垃圾集中箱放置地、仓库地面采取粘土铺底，再在上层铺10~15cm 的水泥进行硬化。通过上述措施可使一般污染区各单元防渗层渗透系数≤10-7 cm/s。 由污染途径及对应措施分析可知，项目对可能产生地下水影响的各项途径均进行有效预防，在确保各项防渗措施得以落实，并加强维护和厂区环境管理的前提下，可有效控制厂区内的废水污染物下渗现象，避免污染地下水，因此项目</w:t>
            </w: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>对区域的地下水质影响较小。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2547" w:type="dxa"/>
            <w:vMerge w:val="continue"/>
          </w:tcPr>
          <w:p>
            <w:pPr>
              <w:pStyle w:val="7"/>
              <w:snapToGrid w:val="0"/>
              <w:spacing w:before="0" w:beforeAutospacing="0" w:after="0" w:afterAutospacing="0"/>
              <w:jc w:val="both"/>
              <w:rPr>
                <w:rFonts w:hint="eastAsia" w:ascii="微软雅黑" w:hAnsi="微软雅黑" w:eastAsia="微软雅黑" w:cs="Arial"/>
                <w:sz w:val="21"/>
                <w:szCs w:val="21"/>
              </w:rPr>
            </w:pPr>
          </w:p>
        </w:tc>
        <w:tc>
          <w:tcPr>
            <w:tcW w:w="12049" w:type="dxa"/>
          </w:tcPr>
          <w:p>
            <w:pPr>
              <w:snapToGrid w:val="0"/>
              <w:rPr>
                <w:rFonts w:hint="eastAsia"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6</w:t>
            </w:r>
            <w:r>
              <w:rPr>
                <w:rFonts w:ascii="微软雅黑" w:hAnsi="微软雅黑" w:eastAsia="微软雅黑"/>
                <w:szCs w:val="21"/>
              </w:rPr>
              <w:t>.</w:t>
            </w:r>
            <w:r>
              <w:rPr>
                <w:rFonts w:hint="eastAsia" w:ascii="微软雅黑" w:hAnsi="微软雅黑" w:eastAsia="微软雅黑"/>
                <w:szCs w:val="21"/>
              </w:rPr>
              <w:t>土壤环境影响预测与评价</w:t>
            </w:r>
          </w:p>
          <w:p>
            <w:pPr>
              <w:snapToGrid w:val="0"/>
              <w:rPr>
                <w:rFonts w:hint="eastAsia"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本项目考虑的污染源主要为危废储存不当其渗滤液下渗污染土壤。现状土壤环境质量监测结果表明：本项目用地范围内各监测点土壤监测指标均不超标，低于</w:t>
            </w:r>
            <w:r>
              <w:rPr>
                <w:rFonts w:ascii="微软雅黑" w:hAnsi="微软雅黑" w:eastAsia="微软雅黑"/>
                <w:szCs w:val="21"/>
              </w:rPr>
              <w:t>GB36600-2018</w:t>
            </w:r>
            <w:r>
              <w:rPr>
                <w:rFonts w:hint="eastAsia" w:ascii="微软雅黑" w:hAnsi="微软雅黑" w:eastAsia="微软雅黑"/>
                <w:szCs w:val="21"/>
              </w:rPr>
              <w:t>第二类建设用地筛选值，项目区域土壤现状环境质量良好。在厂区雨水</w:t>
            </w:r>
            <w:r>
              <w:rPr>
                <w:rFonts w:hint="eastAsia" w:ascii="微软雅黑" w:hAnsi="微软雅黑" w:eastAsia="微软雅黑"/>
                <w:szCs w:val="21"/>
                <w:lang w:eastAsia="zh-CN"/>
              </w:rPr>
              <w:t>、</w:t>
            </w: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>生活污水</w:t>
            </w:r>
            <w:r>
              <w:rPr>
                <w:rFonts w:hint="eastAsia" w:ascii="微软雅黑" w:hAnsi="微软雅黑" w:eastAsia="微软雅黑"/>
                <w:szCs w:val="21"/>
              </w:rPr>
              <w:t>收集系统</w:t>
            </w:r>
            <w:r>
              <w:rPr>
                <w:rFonts w:hint="eastAsia" w:ascii="微软雅黑" w:hAnsi="微软雅黑" w:eastAsia="微软雅黑"/>
                <w:szCs w:val="21"/>
                <w:lang w:eastAsia="zh-CN"/>
              </w:rPr>
              <w:t>，</w:t>
            </w:r>
            <w:r>
              <w:rPr>
                <w:rFonts w:hint="eastAsia" w:ascii="微软雅黑" w:hAnsi="微软雅黑" w:eastAsia="微软雅黑"/>
                <w:szCs w:val="21"/>
              </w:rPr>
              <w:t>雨水可将排水排入雨水管网，企业</w:t>
            </w: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>生活污</w:t>
            </w:r>
            <w:r>
              <w:rPr>
                <w:rFonts w:hint="eastAsia" w:ascii="微软雅黑" w:hAnsi="微软雅黑" w:eastAsia="微软雅黑"/>
                <w:szCs w:val="21"/>
              </w:rPr>
              <w:t>水经污水管网排入濉溪开发区污水处理厂，</w:t>
            </w: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>避免</w:t>
            </w:r>
            <w:r>
              <w:rPr>
                <w:rFonts w:hint="eastAsia" w:ascii="微软雅黑" w:hAnsi="微软雅黑" w:eastAsia="微软雅黑"/>
                <w:szCs w:val="21"/>
              </w:rPr>
              <w:t>进入土壤。在全面落实三级防控措施的情况下，物料或污染物的地面漫流对土壤影响较小。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7" w:type="dxa"/>
          </w:tcPr>
          <w:p>
            <w:pPr>
              <w:snapToGrid w:val="0"/>
              <w:rPr>
                <w:rFonts w:hint="eastAsia"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职业病危害控制效果评价</w:t>
            </w:r>
          </w:p>
          <w:p>
            <w:pPr>
              <w:pStyle w:val="7"/>
              <w:snapToGrid w:val="0"/>
              <w:spacing w:before="0" w:beforeAutospacing="0" w:after="0" w:afterAutospacing="0"/>
              <w:jc w:val="both"/>
              <w:rPr>
                <w:rFonts w:hint="eastAsia" w:ascii="微软雅黑" w:hAnsi="微软雅黑" w:eastAsia="微软雅黑" w:cs="Arial"/>
                <w:sz w:val="21"/>
                <w:szCs w:val="21"/>
              </w:rPr>
            </w:pPr>
          </w:p>
          <w:p>
            <w:pPr>
              <w:pStyle w:val="7"/>
              <w:snapToGrid w:val="0"/>
              <w:spacing w:before="0" w:beforeAutospacing="0" w:after="0" w:afterAutospacing="0"/>
              <w:jc w:val="both"/>
              <w:rPr>
                <w:rFonts w:hint="default" w:ascii="微软雅黑" w:hAnsi="微软雅黑" w:eastAsia="微软雅黑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Arial"/>
                <w:sz w:val="21"/>
                <w:szCs w:val="21"/>
              </w:rPr>
              <w:t>评价日期：</w:t>
            </w:r>
            <w:r>
              <w:rPr>
                <w:rFonts w:hint="eastAsia" w:ascii="微软雅黑" w:hAnsi="微软雅黑" w:eastAsia="微软雅黑" w:cs="Arial"/>
                <w:sz w:val="21"/>
                <w:szCs w:val="21"/>
                <w:lang w:val="en-US" w:eastAsia="zh-CN"/>
              </w:rPr>
              <w:t>2024年11月</w:t>
            </w:r>
          </w:p>
          <w:p>
            <w:pPr>
              <w:pStyle w:val="7"/>
              <w:snapToGrid w:val="0"/>
              <w:spacing w:before="0" w:beforeAutospacing="0" w:after="0" w:afterAutospacing="0"/>
              <w:jc w:val="both"/>
              <w:rPr>
                <w:rFonts w:hint="eastAsia" w:ascii="微软雅黑" w:hAnsi="微软雅黑" w:eastAsia="微软雅黑" w:cs="Arial"/>
                <w:sz w:val="21"/>
                <w:szCs w:val="21"/>
              </w:rPr>
            </w:pPr>
          </w:p>
        </w:tc>
        <w:tc>
          <w:tcPr>
            <w:tcW w:w="12049" w:type="dxa"/>
          </w:tcPr>
          <w:p>
            <w:pPr>
              <w:snapToGrid w:val="0"/>
              <w:jc w:val="left"/>
              <w:rPr>
                <w:rFonts w:hint="eastAsia"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根据职业病危害的调查、评价和本次职业病危害因素检测报告，本评价报告书得出以下结论：</w:t>
            </w:r>
          </w:p>
          <w:p>
            <w:pPr>
              <w:snapToGrid w:val="0"/>
              <w:jc w:val="left"/>
              <w:rPr>
                <w:rFonts w:hint="eastAsia"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(1)本项目存在的主要职业病危害因素有：粉尘、噪声、高温、</w:t>
            </w: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>氯化氢及盐酸等</w:t>
            </w:r>
            <w:r>
              <w:rPr>
                <w:rFonts w:hint="eastAsia" w:ascii="微软雅黑" w:hAnsi="微软雅黑" w:eastAsia="微软雅黑"/>
                <w:szCs w:val="21"/>
              </w:rPr>
              <w:t xml:space="preserve">。 </w:t>
            </w:r>
          </w:p>
          <w:p>
            <w:pPr>
              <w:snapToGrid w:val="0"/>
              <w:jc w:val="left"/>
              <w:rPr>
                <w:rFonts w:hint="eastAsia"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(2)根据</w:t>
            </w: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>安徽中成检测</w:t>
            </w:r>
            <w:r>
              <w:rPr>
                <w:rFonts w:hint="eastAsia" w:ascii="微软雅黑" w:hAnsi="微软雅黑" w:eastAsia="微软雅黑"/>
                <w:szCs w:val="21"/>
              </w:rPr>
              <w:t>有限公司 202</w:t>
            </w: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>3年11</w:t>
            </w:r>
            <w:r>
              <w:rPr>
                <w:rFonts w:hint="eastAsia" w:ascii="微软雅黑" w:hAnsi="微软雅黑" w:eastAsia="微软雅黑"/>
                <w:szCs w:val="21"/>
              </w:rPr>
              <w:t>月</w:t>
            </w: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>24</w:t>
            </w:r>
            <w:r>
              <w:rPr>
                <w:rFonts w:hint="eastAsia" w:ascii="微软雅黑" w:hAnsi="微软雅黑" w:eastAsia="微软雅黑"/>
                <w:szCs w:val="21"/>
              </w:rPr>
              <w:t>日现场检测报告表明，各检测岗位(检测点)接触工作场所空气中有毒有害物质</w:t>
            </w: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>均符合</w:t>
            </w:r>
            <w:r>
              <w:rPr>
                <w:rFonts w:hint="eastAsia" w:ascii="微软雅黑" w:hAnsi="微软雅黑" w:eastAsia="微软雅黑"/>
                <w:szCs w:val="21"/>
              </w:rPr>
              <w:t xml:space="preserve">接触限值标准均符合GBZ2.1-2019《工作场所有害因素职业接触限值第1部分：化学有害因素》的要求。各检测岗位接触有害因素噪声的强度均符合GBZ2.2-2007《工作场所有害因素职业接触限值第2部分：物理因素》的要求。 </w:t>
            </w:r>
          </w:p>
          <w:p>
            <w:pPr>
              <w:snapToGrid w:val="0"/>
              <w:jc w:val="left"/>
              <w:rPr>
                <w:rFonts w:hint="eastAsia"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(3)本项目所采取的防尘、毒、防噪声设施</w:t>
            </w: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>均</w:t>
            </w:r>
            <w:r>
              <w:rPr>
                <w:rFonts w:hint="eastAsia" w:ascii="微软雅黑" w:hAnsi="微软雅黑" w:eastAsia="微软雅黑"/>
                <w:szCs w:val="21"/>
              </w:rPr>
              <w:t xml:space="preserve">符合《工业企业设计卫生标准》(GBZ1-2010)的要求，职业病防护设施维护管理制度较为齐全，防护设施均能正常运行。 </w:t>
            </w:r>
          </w:p>
          <w:p>
            <w:pPr>
              <w:snapToGrid w:val="0"/>
              <w:jc w:val="left"/>
              <w:rPr>
                <w:rFonts w:hint="eastAsia"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 xml:space="preserve">(4)本项目所采用的个人防护用品符合《用人单位劳动防护用品管理规范》、《用人单位职业病防治指南》(GBZ225-2010)、《劳动防护用品配备标准(试行)》等标准。 </w:t>
            </w:r>
          </w:p>
          <w:p>
            <w:pPr>
              <w:snapToGrid w:val="0"/>
              <w:jc w:val="left"/>
              <w:rPr>
                <w:rFonts w:hint="eastAsia"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 xml:space="preserve">(5)在职业卫生管理方面，有管理体系、管理制度和操作规定，注重安全生产、职业卫生和环境保护教育，重视操作工人的个人防护，对可能发生的应急事故制定了一套较完整的处理救援方案；具有职业健康监护制度，对职工的职业健康起到了一定的促进作用。 </w:t>
            </w:r>
          </w:p>
          <w:p>
            <w:pPr>
              <w:snapToGrid w:val="0"/>
              <w:jc w:val="left"/>
              <w:rPr>
                <w:rFonts w:hint="eastAsia"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 xml:space="preserve">根据《关于公布建设项目职业病危害风险分类管理目录的通知》(国卫办职健发[2021]5号)中关于建设项目职业病危害风险分类管理的目录，该项目为金属制品业中的有色金属压延加工项目。 </w:t>
            </w:r>
          </w:p>
          <w:p>
            <w:pPr>
              <w:snapToGrid w:val="0"/>
              <w:jc w:val="left"/>
              <w:rPr>
                <w:rFonts w:hint="eastAsia"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通过此次评价，本项目设备机械化、自动化程度较高，作业人员在现场接触有毒有害机会较少；具备一定的职业病防护措施和个人防护。本项目在试运行过程中，满足国家和地方对职业病防治方面法律、法规、标准的要求。本项目正常生产后，采取了控制效果评价报告书中所提对策措施和建议的情况下，能符合国家和地方对职业病防治方面法律、法规、标准的要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7" w:type="dxa"/>
          </w:tcPr>
          <w:p>
            <w:pPr>
              <w:snapToGrid w:val="0"/>
              <w:rPr>
                <w:rFonts w:hint="eastAsia" w:ascii="微软雅黑" w:hAnsi="微软雅黑" w:eastAsia="微软雅黑" w:cs="Arial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水资源风险评价</w:t>
            </w:r>
          </w:p>
          <w:p>
            <w:pPr>
              <w:pStyle w:val="7"/>
              <w:snapToGrid w:val="0"/>
              <w:spacing w:before="0" w:beforeAutospacing="0" w:after="0" w:afterAutospacing="0"/>
              <w:jc w:val="both"/>
              <w:rPr>
                <w:rFonts w:hint="eastAsia" w:ascii="微软雅黑" w:hAnsi="微软雅黑" w:eastAsia="微软雅黑" w:cs="Arial"/>
                <w:sz w:val="21"/>
                <w:szCs w:val="21"/>
              </w:rPr>
            </w:pPr>
          </w:p>
          <w:p>
            <w:pPr>
              <w:pStyle w:val="7"/>
              <w:snapToGrid w:val="0"/>
              <w:spacing w:before="0" w:beforeAutospacing="0" w:after="0" w:afterAutospacing="0"/>
              <w:jc w:val="both"/>
              <w:rPr>
                <w:rFonts w:hint="eastAsia" w:ascii="微软雅黑" w:hAnsi="微软雅黑" w:eastAsia="微软雅黑" w:cs="Arial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Arial"/>
                <w:sz w:val="21"/>
                <w:szCs w:val="21"/>
              </w:rPr>
              <w:t>评价日期：</w:t>
            </w:r>
            <w:r>
              <w:rPr>
                <w:rFonts w:hint="eastAsia" w:ascii="微软雅黑" w:hAnsi="微软雅黑" w:eastAsia="微软雅黑" w:cs="Arial"/>
                <w:sz w:val="21"/>
                <w:szCs w:val="21"/>
                <w:lang w:val="en-US" w:eastAsia="zh-CN"/>
              </w:rPr>
              <w:t>2025年2月</w:t>
            </w:r>
          </w:p>
          <w:p>
            <w:pPr>
              <w:pStyle w:val="7"/>
              <w:snapToGrid w:val="0"/>
              <w:spacing w:before="0" w:beforeAutospacing="0" w:after="0" w:afterAutospacing="0"/>
              <w:jc w:val="both"/>
              <w:rPr>
                <w:rFonts w:hint="eastAsia" w:ascii="微软雅黑" w:hAnsi="微软雅黑" w:eastAsia="微软雅黑" w:cs="Arial"/>
                <w:sz w:val="21"/>
                <w:szCs w:val="21"/>
              </w:rPr>
            </w:pPr>
          </w:p>
        </w:tc>
        <w:tc>
          <w:tcPr>
            <w:tcW w:w="12049" w:type="dxa"/>
          </w:tcPr>
          <w:p>
            <w:pPr>
              <w:snapToGrid w:val="0"/>
              <w:rPr>
                <w:rFonts w:hint="eastAsia" w:ascii="微软雅黑" w:hAnsi="微软雅黑" w:eastAsia="微软雅黑"/>
                <w:szCs w:val="21"/>
              </w:rPr>
            </w:pPr>
            <w:r>
              <w:rPr>
                <w:rFonts w:ascii="微软雅黑" w:hAnsi="微软雅黑" w:eastAsia="微软雅黑"/>
                <w:szCs w:val="21"/>
              </w:rPr>
              <w:t>根据</w:t>
            </w:r>
            <w:r>
              <w:rPr>
                <w:rFonts w:hint="eastAsia" w:ascii="微软雅黑" w:hAnsi="微软雅黑" w:eastAsia="微软雅黑"/>
                <w:szCs w:val="21"/>
              </w:rPr>
              <w:t>“水资源风险评价”分析，本公司的水资源风险综合评定为“低风险”。</w:t>
            </w:r>
          </w:p>
          <w:p>
            <w:pPr>
              <w:snapToGrid w:val="0"/>
              <w:rPr>
                <w:rFonts w:hint="eastAsia"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1、公司依据法规要求，没有采取地下水或者水库水、地表水。</w:t>
            </w:r>
          </w:p>
          <w:p>
            <w:pPr>
              <w:snapToGrid w:val="0"/>
              <w:rPr>
                <w:rFonts w:hint="eastAsia" w:ascii="微软雅黑" w:hAnsi="微软雅黑" w:eastAsia="微软雅黑"/>
                <w:szCs w:val="21"/>
              </w:rPr>
            </w:pPr>
            <w:r>
              <w:rPr>
                <w:rFonts w:ascii="微软雅黑" w:hAnsi="微软雅黑" w:eastAsia="微软雅黑"/>
                <w:szCs w:val="21"/>
              </w:rPr>
              <w:t>2</w:t>
            </w:r>
            <w:r>
              <w:rPr>
                <w:rFonts w:hint="eastAsia" w:ascii="微软雅黑" w:hAnsi="微软雅黑" w:eastAsia="微软雅黑"/>
                <w:szCs w:val="21"/>
              </w:rPr>
              <w:t>、公司生产工艺不产生“生产废水”。</w:t>
            </w:r>
          </w:p>
          <w:p>
            <w:pPr>
              <w:snapToGrid w:val="0"/>
              <w:rPr>
                <w:rFonts w:hint="eastAsia" w:ascii="微软雅黑" w:hAnsi="微软雅黑" w:eastAsia="微软雅黑"/>
                <w:szCs w:val="21"/>
              </w:rPr>
            </w:pPr>
            <w:r>
              <w:rPr>
                <w:rFonts w:ascii="微软雅黑" w:hAnsi="微软雅黑" w:eastAsia="微软雅黑"/>
                <w:szCs w:val="21"/>
              </w:rPr>
              <w:t>3</w:t>
            </w:r>
            <w:r>
              <w:rPr>
                <w:rFonts w:hint="eastAsia" w:ascii="微软雅黑" w:hAnsi="微软雅黑" w:eastAsia="微软雅黑"/>
                <w:szCs w:val="21"/>
              </w:rPr>
              <w:t>、员工宿舍生活污水，产生量约20t/d，企业废水经污水管网排入濉溪开发区污水处理厂后处理，达标排放，每年委托有资质单位对本公司的废水进行检测，结果都是达标排放。</w:t>
            </w:r>
          </w:p>
          <w:p>
            <w:pPr>
              <w:snapToGrid w:val="0"/>
              <w:rPr>
                <w:rFonts w:hint="eastAsia" w:ascii="微软雅黑" w:hAnsi="微软雅黑" w:eastAsia="微软雅黑"/>
                <w:szCs w:val="21"/>
              </w:rPr>
            </w:pPr>
            <w:r>
              <w:rPr>
                <w:rFonts w:ascii="微软雅黑" w:hAnsi="微软雅黑" w:eastAsia="微软雅黑"/>
                <w:szCs w:val="21"/>
              </w:rPr>
              <w:t>4</w:t>
            </w:r>
            <w:r>
              <w:rPr>
                <w:rFonts w:hint="eastAsia" w:ascii="微软雅黑" w:hAnsi="微软雅黑" w:eastAsia="微软雅黑"/>
                <w:szCs w:val="21"/>
              </w:rPr>
              <w:t>、公司所有的废油全部收集后交给有资质的危废处理机构进行处理。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7" w:type="dxa"/>
          </w:tcPr>
          <w:p>
            <w:pPr>
              <w:snapToGrid w:val="0"/>
              <w:rPr>
                <w:rFonts w:hint="eastAsia"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生物多样性风险评价</w:t>
            </w:r>
          </w:p>
          <w:p>
            <w:pPr>
              <w:pStyle w:val="7"/>
              <w:snapToGrid w:val="0"/>
              <w:spacing w:before="0" w:beforeAutospacing="0" w:after="0" w:afterAutospacing="0"/>
              <w:jc w:val="both"/>
              <w:rPr>
                <w:rFonts w:hint="eastAsia" w:ascii="微软雅黑" w:hAnsi="微软雅黑" w:eastAsia="微软雅黑" w:cs="Arial"/>
                <w:sz w:val="21"/>
                <w:szCs w:val="21"/>
              </w:rPr>
            </w:pPr>
          </w:p>
          <w:p>
            <w:pPr>
              <w:pStyle w:val="7"/>
              <w:snapToGrid w:val="0"/>
              <w:spacing w:before="0" w:beforeAutospacing="0" w:after="0" w:afterAutospacing="0"/>
              <w:jc w:val="both"/>
              <w:rPr>
                <w:rFonts w:hint="eastAsia" w:ascii="微软雅黑" w:hAnsi="微软雅黑" w:eastAsia="微软雅黑" w:cs="Arial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Arial"/>
                <w:sz w:val="21"/>
                <w:szCs w:val="21"/>
              </w:rPr>
              <w:t>评价日期：</w:t>
            </w:r>
            <w:r>
              <w:rPr>
                <w:rFonts w:hint="eastAsia" w:ascii="微软雅黑" w:hAnsi="微软雅黑" w:eastAsia="微软雅黑" w:cs="Arial"/>
                <w:sz w:val="21"/>
                <w:szCs w:val="21"/>
                <w:lang w:val="en-US" w:eastAsia="zh-CN"/>
              </w:rPr>
              <w:t>2025年2月</w:t>
            </w:r>
          </w:p>
          <w:p>
            <w:pPr>
              <w:pStyle w:val="7"/>
              <w:snapToGrid w:val="0"/>
              <w:spacing w:before="0" w:beforeAutospacing="0" w:after="0" w:afterAutospacing="0"/>
              <w:jc w:val="both"/>
              <w:rPr>
                <w:rFonts w:hint="eastAsia" w:ascii="微软雅黑" w:hAnsi="微软雅黑" w:eastAsia="微软雅黑" w:cs="Arial"/>
                <w:sz w:val="21"/>
                <w:szCs w:val="21"/>
              </w:rPr>
            </w:pPr>
          </w:p>
        </w:tc>
        <w:tc>
          <w:tcPr>
            <w:tcW w:w="12049" w:type="dxa"/>
          </w:tcPr>
          <w:p>
            <w:pPr>
              <w:snapToGrid w:val="0"/>
              <w:rPr>
                <w:rFonts w:hint="eastAsia" w:ascii="微软雅黑" w:hAnsi="微软雅黑" w:eastAsia="微软雅黑"/>
                <w:szCs w:val="21"/>
              </w:rPr>
            </w:pPr>
            <w:r>
              <w:rPr>
                <w:rFonts w:ascii="微软雅黑" w:hAnsi="微软雅黑" w:eastAsia="微软雅黑"/>
                <w:szCs w:val="21"/>
              </w:rPr>
              <w:t>根据“生物多样性风险评估报告”</w:t>
            </w:r>
            <w:r>
              <w:rPr>
                <w:rFonts w:hint="eastAsia" w:ascii="微软雅黑" w:hAnsi="微软雅黑" w:eastAsia="微软雅黑"/>
                <w:szCs w:val="21"/>
              </w:rPr>
              <w:t>分析，本公司的生物多样性风险综合评定为“低风险”。</w:t>
            </w:r>
          </w:p>
          <w:p>
            <w:pPr>
              <w:snapToGrid w:val="0"/>
              <w:rPr>
                <w:rFonts w:hint="eastAsia" w:ascii="微软雅黑" w:hAnsi="微软雅黑" w:eastAsia="微软雅黑"/>
                <w:szCs w:val="21"/>
              </w:rPr>
            </w:pPr>
            <w:r>
              <w:rPr>
                <w:rFonts w:ascii="微软雅黑" w:hAnsi="微软雅黑" w:eastAsia="微软雅黑"/>
                <w:szCs w:val="21"/>
              </w:rPr>
              <w:t>1</w:t>
            </w:r>
            <w:r>
              <w:rPr>
                <w:rFonts w:hint="eastAsia" w:ascii="微软雅黑" w:hAnsi="微软雅黑" w:eastAsia="微软雅黑"/>
                <w:szCs w:val="21"/>
              </w:rPr>
              <w:t>、建设项目废气主要是：燃烧炉废气、</w:t>
            </w: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>退火炉</w:t>
            </w:r>
            <w:r>
              <w:rPr>
                <w:rFonts w:hint="eastAsia" w:ascii="微软雅黑" w:hAnsi="微软雅黑" w:eastAsia="微软雅黑"/>
                <w:szCs w:val="21"/>
              </w:rPr>
              <w:t>废气、</w:t>
            </w: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>冷轧轧制油挥发</w:t>
            </w:r>
            <w:r>
              <w:rPr>
                <w:rFonts w:hint="eastAsia" w:ascii="微软雅黑" w:hAnsi="微软雅黑" w:eastAsia="微软雅黑"/>
                <w:szCs w:val="21"/>
              </w:rPr>
              <w:t>，主要污染物为烟(粉)尘、二氧化硫、氮氧化</w:t>
            </w: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>物</w:t>
            </w:r>
            <w:r>
              <w:rPr>
                <w:rFonts w:hint="eastAsia" w:ascii="微软雅黑" w:hAnsi="微软雅黑" w:eastAsia="微软雅黑"/>
                <w:szCs w:val="21"/>
              </w:rPr>
              <w:t xml:space="preserve">、非甲烷总烃。 </w:t>
            </w:r>
          </w:p>
          <w:p>
            <w:pPr>
              <w:snapToGrid w:val="0"/>
              <w:rPr>
                <w:rFonts w:hint="eastAsia" w:ascii="微软雅黑" w:hAnsi="微软雅黑" w:eastAsia="微软雅黑"/>
                <w:szCs w:val="21"/>
              </w:rPr>
            </w:pPr>
            <w:r>
              <w:rPr>
                <w:rFonts w:ascii="微软雅黑" w:hAnsi="微软雅黑" w:eastAsia="微软雅黑"/>
                <w:szCs w:val="21"/>
              </w:rPr>
              <w:t>2</w:t>
            </w:r>
            <w:r>
              <w:rPr>
                <w:rFonts w:hint="eastAsia" w:ascii="微软雅黑" w:hAnsi="微软雅黑" w:eastAsia="微软雅黑"/>
                <w:szCs w:val="21"/>
              </w:rPr>
              <w:t xml:space="preserve">、生产过程采用退火炉和酸洗设备对铝板分别进行退火和表面处理，排放废气经检测符合国标（《工业炉窑大气污染物排放标准 DB32/3728-2020》、《大气污染物综合排放标准GB16297-1996》），未出现超标情况。 </w:t>
            </w:r>
          </w:p>
          <w:p>
            <w:pPr>
              <w:snapToGrid w:val="0"/>
              <w:rPr>
                <w:rFonts w:hint="eastAsia"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3、</w:t>
            </w:r>
            <w:r>
              <w:rPr>
                <w:rFonts w:ascii="微软雅黑" w:hAnsi="微软雅黑" w:eastAsia="微软雅黑"/>
                <w:sz w:val="21"/>
                <w:szCs w:val="21"/>
              </w:rPr>
              <w:t>项目用水为循环用水，不产生污水，生活污水，产生量为约</w:t>
            </w:r>
            <w:r>
              <w:rPr>
                <w:rFonts w:hint="eastAsia" w:ascii="微软雅黑" w:hAnsi="微软雅黑" w:eastAsia="微软雅黑"/>
                <w:sz w:val="21"/>
                <w:szCs w:val="21"/>
                <w:lang w:val="en-US" w:eastAsia="zh-CN"/>
              </w:rPr>
              <w:t>10</w:t>
            </w:r>
            <w:r>
              <w:rPr>
                <w:rFonts w:ascii="微软雅黑" w:hAnsi="微软雅黑" w:eastAsia="微软雅黑"/>
                <w:sz w:val="21"/>
                <w:szCs w:val="21"/>
              </w:rPr>
              <w:t>t/d。废水经污水管网排入开发区污水处理厂处理后，达标排放。</w:t>
            </w:r>
            <w:r>
              <w:rPr>
                <w:rFonts w:hint="eastAsia" w:ascii="微软雅黑" w:hAnsi="微软雅黑" w:eastAsia="微软雅黑"/>
                <w:szCs w:val="21"/>
              </w:rPr>
              <w:t>。</w:t>
            </w:r>
          </w:p>
          <w:p>
            <w:pPr>
              <w:snapToGrid w:val="0"/>
              <w:rPr>
                <w:rFonts w:hint="eastAsia"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4、经调查得知，项目周边</w:t>
            </w:r>
            <w:r>
              <w:rPr>
                <w:rFonts w:ascii="微软雅黑" w:hAnsi="微软雅黑" w:eastAsia="微软雅黑"/>
                <w:szCs w:val="21"/>
              </w:rPr>
              <w:t>500m</w:t>
            </w:r>
            <w:r>
              <w:rPr>
                <w:rFonts w:hint="eastAsia" w:ascii="微软雅黑" w:hAnsi="微软雅黑" w:eastAsia="微软雅黑"/>
                <w:szCs w:val="21"/>
              </w:rPr>
              <w:t xml:space="preserve">范围内，无列入《国家重点保护野生植物名录》和《国家重点保护野生动物名录》的动植物。 </w:t>
            </w:r>
          </w:p>
          <w:p>
            <w:pPr>
              <w:snapToGrid w:val="0"/>
              <w:rPr>
                <w:rFonts w:hint="eastAsia" w:ascii="微软雅黑" w:hAnsi="微软雅黑" w:eastAsia="微软雅黑"/>
                <w:szCs w:val="21"/>
              </w:rPr>
            </w:pPr>
            <w:r>
              <w:rPr>
                <w:rFonts w:ascii="微软雅黑" w:hAnsi="微软雅黑" w:eastAsia="微软雅黑"/>
                <w:szCs w:val="21"/>
              </w:rPr>
              <w:t>5</w:t>
            </w:r>
            <w:r>
              <w:rPr>
                <w:rFonts w:hint="eastAsia" w:ascii="微软雅黑" w:hAnsi="微软雅黑" w:eastAsia="微软雅黑"/>
                <w:szCs w:val="21"/>
              </w:rPr>
              <w:t xml:space="preserve">、项目建设时，委托有资质单位对本公司的污染影响进行评估，得知整体污染风险较小。 </w:t>
            </w:r>
          </w:p>
          <w:p>
            <w:pPr>
              <w:snapToGrid w:val="0"/>
              <w:rPr>
                <w:rFonts w:hint="eastAsia"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6、依据排污许可证的监测要求，每年委托有资质单位对本公司的废气及厂界噪声进行检测，结果都是达标排放。</w:t>
            </w:r>
          </w:p>
          <w:p>
            <w:pPr>
              <w:snapToGrid w:val="0"/>
              <w:rPr>
                <w:rFonts w:hint="eastAsia"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6、公司以及公司员工，没有特意或故意引进外来物种。</w:t>
            </w:r>
          </w:p>
        </w:tc>
      </w:tr>
    </w:tbl>
    <w:p>
      <w:pPr>
        <w:snapToGrid w:val="0"/>
        <w:rPr>
          <w:rFonts w:ascii="微软雅黑" w:hAnsi="微软雅黑" w:eastAsia="微软雅黑"/>
          <w:b/>
          <w:bCs/>
          <w:color w:val="FF0000"/>
          <w:sz w:val="21"/>
          <w:szCs w:val="21"/>
        </w:rPr>
      </w:pPr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8105140</wp:posOffset>
            </wp:positionH>
            <wp:positionV relativeFrom="paragraph">
              <wp:posOffset>219075</wp:posOffset>
            </wp:positionV>
            <wp:extent cx="685800" cy="466725"/>
            <wp:effectExtent l="0" t="0" r="0" b="9525"/>
            <wp:wrapNone/>
            <wp:docPr id="6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2"/>
                    <pic:cNvPicPr>
                      <a:picLocks noChangeAspect="1"/>
                    </pic:cNvPicPr>
                  </pic:nvPicPr>
                  <pic:blipFill>
                    <a:blip r:embed="rId4">
                      <a:lum contrast="36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tabs>
          <w:tab w:val="left" w:pos="1378"/>
        </w:tabs>
        <w:bidi w:val="0"/>
        <w:jc w:val="center"/>
        <w:rPr>
          <w:rFonts w:hint="default" w:ascii="微软雅黑" w:hAnsi="微软雅黑" w:eastAsia="微软雅黑" w:cs="微软雅黑"/>
          <w:sz w:val="28"/>
          <w:szCs w:val="32"/>
          <w:highlight w:val="none"/>
          <w:lang w:val="en-US" w:eastAsia="zh-CN"/>
        </w:rPr>
      </w:pPr>
      <w:r>
        <w:rPr>
          <w:rFonts w:hint="eastAsia" w:ascii="微软雅黑" w:hAnsi="微软雅黑" w:eastAsia="微软雅黑"/>
          <w:b/>
          <w:bCs/>
          <w:color w:val="FF0000"/>
          <w:sz w:val="21"/>
          <w:szCs w:val="21"/>
          <w:lang w:val="en-US" w:eastAsia="zh-CN"/>
        </w:rPr>
        <w:t xml:space="preserve">                                                                              </w:t>
      </w:r>
      <w:r>
        <w:rPr>
          <w:rFonts w:hint="eastAsia" w:ascii="微软雅黑" w:hAnsi="微软雅黑" w:eastAsia="微软雅黑"/>
          <w:sz w:val="21"/>
          <w:szCs w:val="21"/>
          <w:lang w:val="en-US" w:eastAsia="zh-CN"/>
        </w:rPr>
        <w:t xml:space="preserve">                 评估人：</w:t>
      </w:r>
    </w:p>
    <w:p>
      <w:pPr>
        <w:tabs>
          <w:tab w:val="left" w:pos="1378"/>
        </w:tabs>
        <w:bidi w:val="0"/>
        <w:jc w:val="right"/>
        <w:rPr>
          <w:rFonts w:hint="eastAsia" w:ascii="微软雅黑" w:hAnsi="微软雅黑" w:eastAsia="微软雅黑" w:cs="微软雅黑"/>
          <w:sz w:val="28"/>
          <w:szCs w:val="32"/>
          <w:highlight w:val="none"/>
          <w:lang w:val="en-US" w:eastAsia="zh-CN"/>
        </w:rPr>
      </w:pPr>
      <w:r>
        <w:rPr>
          <w:rFonts w:hint="eastAsia" w:ascii="微软雅黑" w:hAnsi="微软雅黑" w:eastAsia="微软雅黑"/>
          <w:sz w:val="21"/>
          <w:szCs w:val="21"/>
          <w:lang w:val="en-US" w:eastAsia="zh-CN"/>
        </w:rPr>
        <w:t xml:space="preserve">     </w:t>
      </w:r>
      <w:r>
        <w:rPr>
          <w:rFonts w:hint="eastAsia" w:ascii="微软雅黑" w:hAnsi="微软雅黑" w:eastAsia="微软雅黑" w:cs="微软雅黑"/>
          <w:color w:val="auto"/>
          <w:szCs w:val="21"/>
          <w:highlight w:val="none"/>
          <w:lang w:val="en-US" w:eastAsia="zh-CN"/>
        </w:rPr>
        <w:t xml:space="preserve"> </w:t>
      </w:r>
    </w:p>
    <w:p>
      <w:pPr>
        <w:tabs>
          <w:tab w:val="left" w:pos="1378"/>
        </w:tabs>
        <w:bidi w:val="0"/>
        <w:jc w:val="right"/>
        <w:rPr>
          <w:rFonts w:hint="eastAsia" w:ascii="微软雅黑" w:hAnsi="微软雅黑" w:eastAsia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/>
          <w:sz w:val="21"/>
          <w:szCs w:val="21"/>
          <w:lang w:val="en-US" w:eastAsia="zh-CN"/>
        </w:rPr>
        <w:t>评估日期：2025年02月01日</w:t>
      </w:r>
    </w:p>
    <w:p>
      <w:pPr>
        <w:pStyle w:val="7"/>
        <w:shd w:val="clear" w:color="auto" w:fill="FFFFFF"/>
        <w:snapToGrid w:val="0"/>
        <w:spacing w:before="0" w:beforeAutospacing="0" w:after="0" w:afterAutospacing="0"/>
        <w:jc w:val="both"/>
        <w:rPr>
          <w:rFonts w:hint="eastAsia" w:ascii="微软雅黑" w:hAnsi="微软雅黑" w:eastAsia="微软雅黑" w:cs="Arial"/>
          <w:sz w:val="21"/>
          <w:szCs w:val="21"/>
        </w:rPr>
      </w:pPr>
    </w:p>
    <w:sectPr>
      <w:pgSz w:w="16838" w:h="11906" w:orient="landscape"/>
      <w:pgMar w:top="1418" w:right="1134" w:bottom="1134" w:left="1134" w:header="680" w:footer="68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7A2979F"/>
    <w:multiLevelType w:val="singleLevel"/>
    <w:tmpl w:val="F7A2979F"/>
    <w:lvl w:ilvl="0" w:tentative="0">
      <w:start w:val="1"/>
      <w:numFmt w:val="decimal"/>
      <w:lvlText w:val="(%1)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F15"/>
    <w:rsid w:val="00021173"/>
    <w:rsid w:val="00030795"/>
    <w:rsid w:val="001558BD"/>
    <w:rsid w:val="00165B97"/>
    <w:rsid w:val="00177F86"/>
    <w:rsid w:val="001B1A74"/>
    <w:rsid w:val="0021042D"/>
    <w:rsid w:val="0022017C"/>
    <w:rsid w:val="00250840"/>
    <w:rsid w:val="00274A0D"/>
    <w:rsid w:val="002F3F49"/>
    <w:rsid w:val="003044D1"/>
    <w:rsid w:val="00310E3F"/>
    <w:rsid w:val="00357DEA"/>
    <w:rsid w:val="003C0E6A"/>
    <w:rsid w:val="00404BB7"/>
    <w:rsid w:val="00404D0D"/>
    <w:rsid w:val="00425FB1"/>
    <w:rsid w:val="004617B0"/>
    <w:rsid w:val="00584AC7"/>
    <w:rsid w:val="005B5F5C"/>
    <w:rsid w:val="00663058"/>
    <w:rsid w:val="006F3022"/>
    <w:rsid w:val="0072671A"/>
    <w:rsid w:val="00763F4F"/>
    <w:rsid w:val="007B2BDA"/>
    <w:rsid w:val="00893F15"/>
    <w:rsid w:val="008C0E42"/>
    <w:rsid w:val="009607F7"/>
    <w:rsid w:val="0099781D"/>
    <w:rsid w:val="009D5D19"/>
    <w:rsid w:val="00A339DF"/>
    <w:rsid w:val="00A903F6"/>
    <w:rsid w:val="00AA667F"/>
    <w:rsid w:val="00B049CF"/>
    <w:rsid w:val="00B768DE"/>
    <w:rsid w:val="00C07D55"/>
    <w:rsid w:val="00C13014"/>
    <w:rsid w:val="00CB4194"/>
    <w:rsid w:val="00DA0C25"/>
    <w:rsid w:val="00DA3A45"/>
    <w:rsid w:val="00DF467F"/>
    <w:rsid w:val="00DF6833"/>
    <w:rsid w:val="00E65CAE"/>
    <w:rsid w:val="00EA14C7"/>
    <w:rsid w:val="00EB2FCA"/>
    <w:rsid w:val="00EB32C3"/>
    <w:rsid w:val="00ED1400"/>
    <w:rsid w:val="00EF098D"/>
    <w:rsid w:val="00F766A6"/>
    <w:rsid w:val="00FA2B08"/>
    <w:rsid w:val="2EA56EC7"/>
    <w:rsid w:val="4B5D04AB"/>
    <w:rsid w:val="5E362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1"/>
    <w:next w:val="1"/>
    <w:link w:val="13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paragraph" w:styleId="4">
    <w:name w:val="heading 4"/>
    <w:basedOn w:val="1"/>
    <w:next w:val="1"/>
    <w:link w:val="19"/>
    <w:semiHidden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2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2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22"/>
    <w:rPr>
      <w:b/>
      <w:bCs/>
    </w:rPr>
  </w:style>
  <w:style w:type="character" w:styleId="12">
    <w:name w:val="Hyperlink"/>
    <w:basedOn w:val="10"/>
    <w:semiHidden/>
    <w:unhideWhenUsed/>
    <w:qFormat/>
    <w:uiPriority w:val="99"/>
    <w:rPr>
      <w:color w:val="0000FF"/>
      <w:u w:val="single"/>
    </w:rPr>
  </w:style>
  <w:style w:type="character" w:customStyle="1" w:styleId="13">
    <w:name w:val="标题 3 字符"/>
    <w:basedOn w:val="10"/>
    <w:link w:val="3"/>
    <w:qFormat/>
    <w:uiPriority w:val="9"/>
    <w:rPr>
      <w:rFonts w:ascii="宋体" w:hAnsi="宋体" w:eastAsia="宋体" w:cs="宋体"/>
      <w:b/>
      <w:bCs/>
      <w:kern w:val="0"/>
      <w:sz w:val="27"/>
      <w:szCs w:val="27"/>
    </w:rPr>
  </w:style>
  <w:style w:type="paragraph" w:customStyle="1" w:styleId="14">
    <w:name w:val="eng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5">
    <w:name w:val="word"/>
    <w:basedOn w:val="10"/>
    <w:qFormat/>
    <w:uiPriority w:val="0"/>
  </w:style>
  <w:style w:type="character" w:customStyle="1" w:styleId="16">
    <w:name w:val="form"/>
    <w:basedOn w:val="10"/>
    <w:qFormat/>
    <w:uiPriority w:val="0"/>
  </w:style>
  <w:style w:type="character" w:customStyle="1" w:styleId="17">
    <w:name w:val="time"/>
    <w:basedOn w:val="10"/>
    <w:qFormat/>
    <w:uiPriority w:val="0"/>
  </w:style>
  <w:style w:type="character" w:customStyle="1" w:styleId="18">
    <w:name w:val="标题 1 字符"/>
    <w:basedOn w:val="10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9">
    <w:name w:val="标题 4 字符"/>
    <w:basedOn w:val="10"/>
    <w:link w:val="4"/>
    <w:semiHidden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paragraph" w:customStyle="1" w:styleId="20">
    <w:name w:val="publishdate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21">
    <w:name w:val="页眉 字符"/>
    <w:basedOn w:val="10"/>
    <w:link w:val="6"/>
    <w:qFormat/>
    <w:uiPriority w:val="99"/>
    <w:rPr>
      <w:sz w:val="18"/>
      <w:szCs w:val="18"/>
    </w:rPr>
  </w:style>
  <w:style w:type="character" w:customStyle="1" w:styleId="22">
    <w:name w:val="页脚 字符"/>
    <w:basedOn w:val="10"/>
    <w:link w:val="5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3259</Words>
  <Characters>3473</Characters>
  <Lines>42</Lines>
  <Paragraphs>11</Paragraphs>
  <TotalTime>6</TotalTime>
  <ScaleCrop>false</ScaleCrop>
  <LinksUpToDate>false</LinksUpToDate>
  <CharactersWithSpaces>3598</CharactersWithSpaces>
  <Application>WPS Office_11.8.2.12011_F1E327BC-269C-435d-A152-05C5408002CA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2023-07-02T02:33:00Z</dcterms:created>
  <dc:creator>Lin Hou Gui</dc:creator>
  <cp:lastModifiedBy>周鹏云</cp:lastModifiedBy>
  <dcterms:modified xsi:type="dcterms:W3CDTF">2025-08-29T07:24:02Z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2052-11.8.2.12011</vt:lpwstr>
  </property>
  <property fmtid="{D5CDD505-2E9C-101B-9397-08002B2CF9AE}" pid="3" name="ICV">
    <vt:lpwstr>B8FFE0F483274FFAA9DE2E324F5BB0AE_12</vt:lpwstr>
  </property>
</Properties>
</file>