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b/>
          <w:bCs/>
          <w:sz w:val="32"/>
          <w:szCs w:val="32"/>
        </w:rPr>
      </w:pPr>
    </w:p>
    <w:p>
      <w:pPr>
        <w:jc w:val="center"/>
        <w:rPr>
          <w:rFonts w:hint="eastAsia" w:ascii="微软雅黑" w:hAnsi="微软雅黑" w:eastAsia="微软雅黑"/>
          <w:b/>
          <w:bCs/>
          <w:sz w:val="32"/>
          <w:szCs w:val="32"/>
        </w:rPr>
      </w:pPr>
      <w:r>
        <w:rPr>
          <w:rFonts w:hint="eastAsia" w:ascii="微软雅黑" w:hAnsi="微软雅黑" w:eastAsia="微软雅黑"/>
          <w:b/>
          <w:bCs/>
          <w:sz w:val="32"/>
          <w:szCs w:val="32"/>
        </w:rPr>
        <w:t>安徽</w:t>
      </w:r>
      <w:r>
        <w:rPr>
          <w:rFonts w:hint="eastAsia" w:ascii="微软雅黑" w:hAnsi="微软雅黑" w:eastAsia="微软雅黑"/>
          <w:b/>
          <w:bCs/>
          <w:sz w:val="32"/>
          <w:szCs w:val="32"/>
          <w:lang w:val="en-US" w:eastAsia="zh-CN"/>
        </w:rPr>
        <w:t>美信铝业</w:t>
      </w:r>
      <w:r>
        <w:rPr>
          <w:rFonts w:hint="eastAsia" w:ascii="微软雅黑" w:hAnsi="微软雅黑" w:eastAsia="微软雅黑"/>
          <w:b/>
          <w:bCs/>
          <w:sz w:val="32"/>
          <w:szCs w:val="32"/>
        </w:rPr>
        <w:t>有限公司</w:t>
      </w:r>
    </w:p>
    <w:p>
      <w:pPr>
        <w:ind w:firstLine="2241" w:firstLineChars="700"/>
        <w:jc w:val="left"/>
        <w:rPr>
          <w:rFonts w:hint="eastAsia" w:ascii="微软雅黑" w:hAnsi="微软雅黑" w:eastAsia="微软雅黑"/>
          <w:b/>
          <w:bCs/>
          <w:sz w:val="32"/>
          <w:szCs w:val="32"/>
        </w:rPr>
      </w:pPr>
    </w:p>
    <w:p>
      <w:pPr>
        <w:ind w:firstLine="2241" w:firstLineChars="700"/>
        <w:jc w:val="left"/>
        <w:rPr>
          <w:rFonts w:ascii="微软雅黑" w:hAnsi="微软雅黑" w:eastAsia="微软雅黑"/>
          <w:b/>
          <w:bCs/>
          <w:sz w:val="32"/>
          <w:szCs w:val="32"/>
        </w:rPr>
      </w:pPr>
    </w:p>
    <w:p>
      <w:pPr>
        <w:jc w:val="center"/>
        <w:rPr>
          <w:rFonts w:hint="eastAsia" w:ascii="微软雅黑" w:hAnsi="微软雅黑" w:eastAsia="微软雅黑"/>
          <w:b/>
          <w:bCs/>
          <w:sz w:val="52"/>
          <w:szCs w:val="52"/>
        </w:rPr>
      </w:pPr>
      <w:r>
        <w:rPr>
          <w:rFonts w:hint="eastAsia" w:ascii="微软雅黑" w:hAnsi="微软雅黑" w:eastAsia="微软雅黑"/>
          <w:b/>
          <w:bCs/>
          <w:sz w:val="52"/>
          <w:szCs w:val="52"/>
        </w:rPr>
        <w:t>水</w:t>
      </w:r>
    </w:p>
    <w:p>
      <w:pPr>
        <w:jc w:val="center"/>
        <w:rPr>
          <w:rFonts w:hint="eastAsia" w:ascii="微软雅黑" w:hAnsi="微软雅黑" w:eastAsia="微软雅黑"/>
          <w:b/>
          <w:bCs/>
          <w:sz w:val="52"/>
          <w:szCs w:val="52"/>
        </w:rPr>
      </w:pPr>
      <w:r>
        <w:rPr>
          <w:rFonts w:hint="eastAsia" w:ascii="微软雅黑" w:hAnsi="微软雅黑" w:eastAsia="微软雅黑"/>
          <w:b/>
          <w:bCs/>
          <w:sz w:val="52"/>
          <w:szCs w:val="52"/>
        </w:rPr>
        <w:t>资</w:t>
      </w:r>
    </w:p>
    <w:p>
      <w:pPr>
        <w:jc w:val="center"/>
        <w:rPr>
          <w:rFonts w:hint="eastAsia" w:ascii="微软雅黑" w:hAnsi="微软雅黑" w:eastAsia="微软雅黑"/>
          <w:b/>
          <w:bCs/>
          <w:sz w:val="52"/>
          <w:szCs w:val="52"/>
        </w:rPr>
      </w:pPr>
      <w:r>
        <w:rPr>
          <w:rFonts w:hint="eastAsia" w:ascii="微软雅黑" w:hAnsi="微软雅黑" w:eastAsia="微软雅黑"/>
          <w:b/>
          <w:bCs/>
          <w:sz w:val="52"/>
          <w:szCs w:val="52"/>
        </w:rPr>
        <w:t>源</w:t>
      </w:r>
    </w:p>
    <w:p>
      <w:pPr>
        <w:jc w:val="center"/>
        <w:rPr>
          <w:rFonts w:hint="eastAsia" w:ascii="微软雅黑" w:hAnsi="微软雅黑" w:eastAsia="微软雅黑"/>
          <w:b/>
          <w:bCs/>
          <w:sz w:val="52"/>
          <w:szCs w:val="52"/>
        </w:rPr>
      </w:pPr>
      <w:r>
        <w:rPr>
          <w:rFonts w:hint="eastAsia" w:ascii="微软雅黑" w:hAnsi="微软雅黑" w:eastAsia="微软雅黑"/>
          <w:b/>
          <w:bCs/>
          <w:sz w:val="52"/>
          <w:szCs w:val="52"/>
        </w:rPr>
        <w:t>风</w:t>
      </w:r>
    </w:p>
    <w:p>
      <w:pPr>
        <w:jc w:val="center"/>
        <w:rPr>
          <w:rFonts w:hint="eastAsia" w:ascii="微软雅黑" w:hAnsi="微软雅黑" w:eastAsia="微软雅黑"/>
          <w:b/>
          <w:bCs/>
          <w:sz w:val="52"/>
          <w:szCs w:val="52"/>
        </w:rPr>
      </w:pPr>
      <w:r>
        <w:rPr>
          <w:rFonts w:hint="eastAsia" w:ascii="微软雅黑" w:hAnsi="微软雅黑" w:eastAsia="微软雅黑"/>
          <w:b/>
          <w:bCs/>
          <w:sz w:val="52"/>
          <w:szCs w:val="52"/>
        </w:rPr>
        <w:t>险</w:t>
      </w:r>
    </w:p>
    <w:p>
      <w:pPr>
        <w:jc w:val="center"/>
        <w:rPr>
          <w:rFonts w:hint="eastAsia" w:ascii="微软雅黑" w:hAnsi="微软雅黑" w:eastAsia="微软雅黑"/>
          <w:b/>
          <w:bCs/>
          <w:sz w:val="52"/>
          <w:szCs w:val="52"/>
        </w:rPr>
      </w:pPr>
      <w:r>
        <w:rPr>
          <w:rFonts w:hint="eastAsia" w:ascii="微软雅黑" w:hAnsi="微软雅黑" w:eastAsia="微软雅黑"/>
          <w:b/>
          <w:bCs/>
          <w:sz w:val="52"/>
          <w:szCs w:val="52"/>
        </w:rPr>
        <w:t>评</w:t>
      </w:r>
    </w:p>
    <w:p>
      <w:pPr>
        <w:jc w:val="center"/>
        <w:rPr>
          <w:rFonts w:hint="eastAsia" w:ascii="微软雅黑" w:hAnsi="微软雅黑" w:eastAsia="微软雅黑"/>
          <w:b/>
          <w:bCs/>
          <w:sz w:val="52"/>
          <w:szCs w:val="52"/>
        </w:rPr>
      </w:pPr>
      <w:r>
        <w:rPr>
          <w:rFonts w:hint="eastAsia" w:ascii="微软雅黑" w:hAnsi="微软雅黑" w:eastAsia="微软雅黑"/>
          <w:b/>
          <w:bCs/>
          <w:sz w:val="52"/>
          <w:szCs w:val="52"/>
        </w:rPr>
        <w:t>估</w:t>
      </w:r>
    </w:p>
    <w:p>
      <w:pPr>
        <w:jc w:val="center"/>
        <w:rPr>
          <w:rFonts w:hint="eastAsia" w:ascii="微软雅黑" w:hAnsi="微软雅黑" w:eastAsia="微软雅黑"/>
          <w:b/>
          <w:bCs/>
          <w:sz w:val="52"/>
          <w:szCs w:val="52"/>
        </w:rPr>
      </w:pPr>
      <w:r>
        <w:rPr>
          <w:rFonts w:hint="eastAsia" w:ascii="微软雅黑" w:hAnsi="微软雅黑" w:eastAsia="微软雅黑"/>
          <w:b/>
          <w:bCs/>
          <w:sz w:val="52"/>
          <w:szCs w:val="52"/>
        </w:rPr>
        <w:t>报</w:t>
      </w:r>
    </w:p>
    <w:p>
      <w:pPr>
        <w:jc w:val="center"/>
        <w:rPr>
          <w:rFonts w:ascii="微软雅黑" w:hAnsi="微软雅黑" w:eastAsia="微软雅黑"/>
          <w:b/>
          <w:bCs/>
          <w:sz w:val="52"/>
          <w:szCs w:val="52"/>
        </w:rPr>
      </w:pPr>
      <w:r>
        <w:rPr>
          <w:rFonts w:hint="eastAsia" w:ascii="微软雅黑" w:hAnsi="微软雅黑" w:eastAsia="微软雅黑"/>
          <w:b/>
          <w:bCs/>
          <w:sz w:val="52"/>
          <w:szCs w:val="52"/>
        </w:rPr>
        <w:t>告</w:t>
      </w:r>
    </w:p>
    <w:p>
      <w:pPr>
        <w:widowControl/>
        <w:jc w:val="center"/>
        <w:rPr>
          <w:rFonts w:ascii="微软雅黑" w:hAnsi="微软雅黑" w:eastAsia="微软雅黑" w:cs="Calibri"/>
          <w:color w:val="000000"/>
          <w:kern w:val="0"/>
          <w:sz w:val="28"/>
          <w:szCs w:val="28"/>
        </w:rPr>
      </w:pPr>
    </w:p>
    <w:p>
      <w:pPr>
        <w:widowControl/>
        <w:jc w:val="center"/>
        <w:rPr>
          <w:rFonts w:ascii="微软雅黑" w:hAnsi="微软雅黑" w:eastAsia="微软雅黑" w:cs="Calibri"/>
          <w:color w:val="000000"/>
          <w:kern w:val="0"/>
          <w:sz w:val="28"/>
          <w:szCs w:val="28"/>
        </w:rPr>
      </w:pPr>
      <w:r>
        <w:rPr>
          <w:rFonts w:hint="eastAsia" w:ascii="微软雅黑" w:hAnsi="微软雅黑" w:eastAsia="微软雅黑"/>
          <w:b/>
          <w:bCs/>
          <w:sz w:val="24"/>
        </w:rPr>
        <w:t>(评估日期：</w:t>
      </w:r>
      <w:r>
        <w:rPr>
          <w:rFonts w:hint="eastAsia" w:ascii="微软雅黑" w:hAnsi="微软雅黑" w:eastAsia="微软雅黑"/>
          <w:b/>
          <w:bCs/>
          <w:sz w:val="24"/>
          <w:lang w:eastAsia="zh-CN"/>
        </w:rPr>
        <w:t>202</w:t>
      </w:r>
      <w:r>
        <w:rPr>
          <w:rFonts w:hint="eastAsia" w:ascii="微软雅黑" w:hAnsi="微软雅黑" w:eastAsia="微软雅黑"/>
          <w:b/>
          <w:bCs/>
          <w:sz w:val="24"/>
          <w:lang w:val="en-US" w:eastAsia="zh-CN"/>
        </w:rPr>
        <w:t>5</w:t>
      </w:r>
      <w:r>
        <w:rPr>
          <w:rFonts w:hint="eastAsia" w:ascii="微软雅黑" w:hAnsi="微软雅黑" w:eastAsia="微软雅黑"/>
          <w:b/>
          <w:bCs/>
          <w:sz w:val="24"/>
        </w:rPr>
        <w:t>-0</w:t>
      </w:r>
      <w:r>
        <w:rPr>
          <w:rFonts w:hint="eastAsia" w:ascii="微软雅黑" w:hAnsi="微软雅黑" w:eastAsia="微软雅黑"/>
          <w:b/>
          <w:bCs/>
          <w:sz w:val="24"/>
          <w:lang w:val="en-US" w:eastAsia="zh-CN"/>
        </w:rPr>
        <w:t>2</w:t>
      </w:r>
      <w:r>
        <w:rPr>
          <w:rFonts w:hint="eastAsia" w:ascii="微软雅黑" w:hAnsi="微软雅黑" w:eastAsia="微软雅黑"/>
          <w:b/>
          <w:bCs/>
          <w:sz w:val="24"/>
        </w:rPr>
        <w:t>-</w:t>
      </w:r>
      <w:r>
        <w:rPr>
          <w:rFonts w:hint="eastAsia" w:ascii="微软雅黑" w:hAnsi="微软雅黑" w:eastAsia="微软雅黑"/>
          <w:b/>
          <w:bCs/>
          <w:sz w:val="24"/>
          <w:lang w:val="en-US" w:eastAsia="zh-CN"/>
        </w:rPr>
        <w:t>01</w:t>
      </w:r>
      <w:r>
        <w:rPr>
          <w:rFonts w:hint="eastAsia" w:ascii="微软雅黑" w:hAnsi="微软雅黑" w:eastAsia="微软雅黑"/>
          <w:b/>
          <w:bCs/>
          <w:sz w:val="24"/>
        </w:rPr>
        <w:t>)</w:t>
      </w:r>
    </w:p>
    <w:p>
      <w:pPr>
        <w:widowControl/>
        <w:jc w:val="left"/>
        <w:rPr>
          <w:rFonts w:ascii="微软雅黑" w:hAnsi="微软雅黑" w:eastAsia="微软雅黑" w:cs="Calibri"/>
          <w:color w:val="000000"/>
          <w:kern w:val="0"/>
          <w:sz w:val="28"/>
          <w:szCs w:val="28"/>
        </w:rPr>
      </w:pPr>
    </w:p>
    <w:p>
      <w:pPr>
        <w:widowControl/>
        <w:jc w:val="left"/>
        <w:rPr>
          <w:rFonts w:ascii="微软雅黑" w:hAnsi="微软雅黑" w:eastAsia="微软雅黑" w:cs="Calibri"/>
          <w:color w:val="000000"/>
          <w:kern w:val="0"/>
          <w:sz w:val="28"/>
          <w:szCs w:val="28"/>
        </w:rPr>
      </w:pPr>
    </w:p>
    <w:p>
      <w:pPr>
        <w:widowControl/>
        <w:jc w:val="left"/>
        <w:rPr>
          <w:rFonts w:ascii="微软雅黑" w:hAnsi="微软雅黑" w:eastAsia="微软雅黑" w:cs="Calibri"/>
          <w:color w:val="000000"/>
          <w:kern w:val="0"/>
          <w:sz w:val="28"/>
          <w:szCs w:val="28"/>
        </w:rPr>
      </w:pPr>
    </w:p>
    <w:p>
      <w:pPr>
        <w:widowControl/>
        <w:jc w:val="left"/>
        <w:rPr>
          <w:rFonts w:hint="eastAsia" w:ascii="微软雅黑" w:hAnsi="微软雅黑" w:eastAsia="微软雅黑" w:cs="Calibri"/>
          <w:color w:val="000000"/>
          <w:kern w:val="0"/>
          <w:sz w:val="28"/>
          <w:szCs w:val="28"/>
        </w:rPr>
      </w:pPr>
    </w:p>
    <w:p>
      <w:pPr>
        <w:widowControl/>
        <w:snapToGrid w:val="0"/>
        <w:jc w:val="left"/>
        <w:rPr>
          <w:rFonts w:ascii="微软雅黑" w:hAnsi="微软雅黑" w:eastAsia="微软雅黑"/>
          <w:b/>
          <w:bCs/>
          <w:szCs w:val="21"/>
        </w:rPr>
      </w:pPr>
      <w:r>
        <w:rPr>
          <w:rFonts w:ascii="微软雅黑" w:hAnsi="微软雅黑" w:eastAsia="微软雅黑" w:cs="Calibri"/>
          <w:b/>
          <w:bCs/>
          <w:color w:val="000000"/>
          <w:kern w:val="0"/>
          <w:szCs w:val="21"/>
        </w:rPr>
        <w:t>1</w:t>
      </w:r>
      <w:r>
        <w:rPr>
          <w:rFonts w:hint="eastAsia" w:ascii="微软雅黑" w:hAnsi="微软雅黑" w:eastAsia="微软雅黑" w:cs="宋体"/>
          <w:b/>
          <w:bCs/>
          <w:color w:val="000000"/>
          <w:kern w:val="0"/>
          <w:szCs w:val="21"/>
        </w:rPr>
        <w:t xml:space="preserve">、评估依据 </w:t>
      </w:r>
    </w:p>
    <w:p>
      <w:pPr>
        <w:widowControl/>
        <w:snapToGrid w:val="0"/>
        <w:jc w:val="left"/>
        <w:rPr>
          <w:rFonts w:ascii="微软雅黑" w:hAnsi="微软雅黑" w:eastAsia="微软雅黑"/>
          <w:szCs w:val="21"/>
        </w:rPr>
      </w:pPr>
      <w:r>
        <w:rPr>
          <w:rFonts w:ascii="微软雅黑" w:hAnsi="微软雅黑" w:eastAsia="微软雅黑" w:cs="Calibri"/>
          <w:color w:val="000000"/>
          <w:kern w:val="0"/>
          <w:szCs w:val="21"/>
        </w:rPr>
        <w:t>(1)</w:t>
      </w:r>
      <w:r>
        <w:rPr>
          <w:rFonts w:hint="eastAsia" w:ascii="微软雅黑" w:hAnsi="微软雅黑" w:eastAsia="微软雅黑" w:cs="宋体"/>
          <w:color w:val="000000"/>
          <w:kern w:val="0"/>
          <w:szCs w:val="21"/>
        </w:rPr>
        <w:t>《中华人民共和国环境保护法》</w:t>
      </w:r>
      <w:r>
        <w:rPr>
          <w:rFonts w:ascii="微软雅黑" w:hAnsi="微软雅黑" w:eastAsia="微软雅黑" w:cs="Calibri"/>
          <w:color w:val="000000"/>
          <w:kern w:val="0"/>
          <w:szCs w:val="21"/>
        </w:rPr>
        <w:t>(2015.</w:t>
      </w:r>
      <w:r>
        <w:rPr>
          <w:rFonts w:hint="eastAsia" w:ascii="微软雅黑" w:hAnsi="微软雅黑" w:eastAsia="微软雅黑" w:cs="Calibri"/>
          <w:color w:val="000000"/>
          <w:kern w:val="0"/>
          <w:szCs w:val="21"/>
        </w:rPr>
        <w:t>0</w:t>
      </w:r>
      <w:r>
        <w:rPr>
          <w:rFonts w:ascii="微软雅黑" w:hAnsi="微软雅黑" w:eastAsia="微软雅黑" w:cs="Calibri"/>
          <w:color w:val="000000"/>
          <w:kern w:val="0"/>
          <w:szCs w:val="21"/>
        </w:rPr>
        <w:t>1.</w:t>
      </w:r>
      <w:r>
        <w:rPr>
          <w:rFonts w:hint="eastAsia" w:ascii="微软雅黑" w:hAnsi="微软雅黑" w:eastAsia="微软雅黑" w:cs="Calibri"/>
          <w:color w:val="000000"/>
          <w:kern w:val="0"/>
          <w:szCs w:val="21"/>
        </w:rPr>
        <w:t>0</w:t>
      </w:r>
      <w:r>
        <w:rPr>
          <w:rFonts w:ascii="微软雅黑" w:hAnsi="微软雅黑" w:eastAsia="微软雅黑" w:cs="Calibri"/>
          <w:color w:val="000000"/>
          <w:kern w:val="0"/>
          <w:szCs w:val="21"/>
        </w:rPr>
        <w:t>1)</w:t>
      </w:r>
    </w:p>
    <w:p>
      <w:pPr>
        <w:widowControl/>
        <w:snapToGrid w:val="0"/>
        <w:jc w:val="left"/>
        <w:rPr>
          <w:rFonts w:ascii="微软雅黑" w:hAnsi="微软雅黑" w:eastAsia="微软雅黑"/>
          <w:szCs w:val="21"/>
        </w:rPr>
      </w:pPr>
      <w:r>
        <w:rPr>
          <w:rFonts w:ascii="微软雅黑" w:hAnsi="微软雅黑" w:eastAsia="微软雅黑" w:cs="Calibri"/>
          <w:color w:val="000000"/>
          <w:kern w:val="0"/>
          <w:szCs w:val="21"/>
        </w:rPr>
        <w:t>(2)</w:t>
      </w:r>
      <w:r>
        <w:rPr>
          <w:rFonts w:hint="eastAsia" w:ascii="微软雅黑" w:hAnsi="微软雅黑" w:eastAsia="微软雅黑" w:cs="宋体"/>
          <w:color w:val="000000"/>
          <w:kern w:val="0"/>
          <w:szCs w:val="21"/>
        </w:rPr>
        <w:t>《中华人民共和国水污染防治法》</w:t>
      </w:r>
      <w:r>
        <w:rPr>
          <w:rFonts w:ascii="微软雅黑" w:hAnsi="微软雅黑" w:eastAsia="微软雅黑" w:cs="Calibri"/>
          <w:color w:val="000000"/>
          <w:kern w:val="0"/>
          <w:szCs w:val="21"/>
        </w:rPr>
        <w:t>(2008.</w:t>
      </w:r>
      <w:r>
        <w:rPr>
          <w:rFonts w:hint="eastAsia" w:ascii="微软雅黑" w:hAnsi="微软雅黑" w:eastAsia="微软雅黑" w:cs="Calibri"/>
          <w:color w:val="000000"/>
          <w:kern w:val="0"/>
          <w:szCs w:val="21"/>
        </w:rPr>
        <w:t>0</w:t>
      </w:r>
      <w:r>
        <w:rPr>
          <w:rFonts w:ascii="微软雅黑" w:hAnsi="微软雅黑" w:eastAsia="微软雅黑" w:cs="Calibri"/>
          <w:color w:val="000000"/>
          <w:kern w:val="0"/>
          <w:szCs w:val="21"/>
        </w:rPr>
        <w:t>2.28)</w:t>
      </w:r>
    </w:p>
    <w:p>
      <w:pPr>
        <w:widowControl/>
        <w:snapToGrid w:val="0"/>
        <w:jc w:val="left"/>
        <w:rPr>
          <w:rFonts w:ascii="微软雅黑" w:hAnsi="微软雅黑" w:eastAsia="微软雅黑"/>
          <w:szCs w:val="21"/>
        </w:rPr>
      </w:pPr>
      <w:r>
        <w:rPr>
          <w:rFonts w:ascii="微软雅黑" w:hAnsi="微软雅黑" w:eastAsia="微软雅黑" w:cs="Calibri"/>
          <w:color w:val="000000"/>
          <w:kern w:val="0"/>
          <w:szCs w:val="21"/>
        </w:rPr>
        <w:t>(3)</w:t>
      </w:r>
      <w:r>
        <w:rPr>
          <w:rFonts w:hint="eastAsia" w:ascii="微软雅黑" w:hAnsi="微软雅黑" w:eastAsia="微软雅黑" w:cs="宋体"/>
          <w:color w:val="000000"/>
          <w:kern w:val="0"/>
          <w:szCs w:val="21"/>
        </w:rPr>
        <w:t>《中华人民共和国固体废物污染环境防治法》</w:t>
      </w:r>
      <w:r>
        <w:rPr>
          <w:rFonts w:ascii="微软雅黑" w:hAnsi="微软雅黑" w:eastAsia="微软雅黑" w:cs="Calibri"/>
          <w:color w:val="000000"/>
          <w:kern w:val="0"/>
          <w:szCs w:val="21"/>
        </w:rPr>
        <w:t>(2013.</w:t>
      </w:r>
      <w:r>
        <w:rPr>
          <w:rFonts w:hint="eastAsia" w:ascii="微软雅黑" w:hAnsi="微软雅黑" w:eastAsia="微软雅黑" w:cs="Calibri"/>
          <w:color w:val="000000"/>
          <w:kern w:val="0"/>
          <w:szCs w:val="21"/>
        </w:rPr>
        <w:t>0</w:t>
      </w:r>
      <w:r>
        <w:rPr>
          <w:rFonts w:ascii="微软雅黑" w:hAnsi="微软雅黑" w:eastAsia="微软雅黑" w:cs="Calibri"/>
          <w:color w:val="000000"/>
          <w:kern w:val="0"/>
          <w:szCs w:val="21"/>
        </w:rPr>
        <w:t>6.29)</w:t>
      </w:r>
    </w:p>
    <w:p>
      <w:pPr>
        <w:widowControl/>
        <w:snapToGrid w:val="0"/>
        <w:jc w:val="left"/>
        <w:rPr>
          <w:rFonts w:ascii="微软雅黑" w:hAnsi="微软雅黑" w:eastAsia="微软雅黑"/>
          <w:szCs w:val="21"/>
        </w:rPr>
      </w:pPr>
      <w:r>
        <w:rPr>
          <w:rFonts w:ascii="微软雅黑" w:hAnsi="微软雅黑" w:eastAsia="微软雅黑" w:cs="Calibri"/>
          <w:color w:val="000000"/>
          <w:kern w:val="0"/>
          <w:szCs w:val="21"/>
        </w:rPr>
        <w:t>(4)</w:t>
      </w:r>
      <w:r>
        <w:rPr>
          <w:rFonts w:hint="eastAsia" w:ascii="微软雅黑" w:hAnsi="微软雅黑" w:eastAsia="微软雅黑" w:cs="宋体"/>
          <w:color w:val="000000"/>
          <w:kern w:val="0"/>
          <w:szCs w:val="21"/>
        </w:rPr>
        <w:t>《中华人民共和国节约能源法》</w:t>
      </w:r>
      <w:r>
        <w:rPr>
          <w:rFonts w:ascii="微软雅黑" w:hAnsi="微软雅黑" w:eastAsia="微软雅黑" w:cs="Calibri"/>
          <w:color w:val="000000"/>
          <w:kern w:val="0"/>
          <w:szCs w:val="21"/>
        </w:rPr>
        <w:t xml:space="preserve">(2007.10.28) </w:t>
      </w:r>
    </w:p>
    <w:p>
      <w:pPr>
        <w:widowControl/>
        <w:snapToGrid w:val="0"/>
        <w:jc w:val="left"/>
        <w:rPr>
          <w:rFonts w:ascii="微软雅黑" w:hAnsi="微软雅黑" w:eastAsia="微软雅黑"/>
          <w:szCs w:val="21"/>
        </w:rPr>
      </w:pPr>
      <w:r>
        <w:rPr>
          <w:rFonts w:ascii="微软雅黑" w:hAnsi="微软雅黑" w:eastAsia="微软雅黑" w:cs="Calibri"/>
          <w:color w:val="000000"/>
          <w:kern w:val="0"/>
          <w:szCs w:val="21"/>
        </w:rPr>
        <w:t>(5)</w:t>
      </w:r>
      <w:r>
        <w:rPr>
          <w:rFonts w:hint="eastAsia" w:ascii="微软雅黑" w:hAnsi="微软雅黑" w:eastAsia="微软雅黑" w:cs="宋体"/>
          <w:color w:val="000000"/>
          <w:kern w:val="0"/>
          <w:szCs w:val="21"/>
        </w:rPr>
        <w:t>《建设项目环境保护管理条例》</w:t>
      </w:r>
      <w:r>
        <w:rPr>
          <w:rFonts w:ascii="微软雅黑" w:hAnsi="微软雅黑" w:eastAsia="微软雅黑" w:cs="Calibri"/>
          <w:color w:val="000000"/>
          <w:kern w:val="0"/>
          <w:szCs w:val="21"/>
        </w:rPr>
        <w:t xml:space="preserve">(1998.11.29) </w:t>
      </w:r>
      <w:r>
        <w:rPr>
          <w:rFonts w:hint="eastAsia" w:ascii="微软雅黑" w:hAnsi="微软雅黑" w:eastAsia="微软雅黑" w:cs="宋体"/>
          <w:color w:val="000000"/>
          <w:kern w:val="0"/>
          <w:szCs w:val="21"/>
        </w:rPr>
        <w:t>国务院第</w:t>
      </w:r>
      <w:r>
        <w:rPr>
          <w:rFonts w:ascii="微软雅黑" w:hAnsi="微软雅黑" w:eastAsia="微软雅黑" w:cs="Calibri"/>
          <w:color w:val="000000"/>
          <w:kern w:val="0"/>
          <w:szCs w:val="21"/>
        </w:rPr>
        <w:t>253</w:t>
      </w:r>
      <w:r>
        <w:rPr>
          <w:rFonts w:hint="eastAsia" w:ascii="微软雅黑" w:hAnsi="微软雅黑" w:eastAsia="微软雅黑" w:cs="宋体"/>
          <w:color w:val="000000"/>
          <w:kern w:val="0"/>
          <w:szCs w:val="21"/>
        </w:rPr>
        <w:t>号令</w:t>
      </w:r>
    </w:p>
    <w:p>
      <w:pPr>
        <w:widowControl/>
        <w:snapToGrid w:val="0"/>
        <w:jc w:val="left"/>
        <w:rPr>
          <w:rFonts w:ascii="微软雅黑" w:hAnsi="微软雅黑" w:eastAsia="微软雅黑"/>
          <w:szCs w:val="21"/>
        </w:rPr>
      </w:pPr>
      <w:r>
        <w:rPr>
          <w:rFonts w:ascii="微软雅黑" w:hAnsi="微软雅黑" w:eastAsia="微软雅黑" w:cs="Calibri"/>
          <w:color w:val="000000"/>
          <w:kern w:val="0"/>
          <w:szCs w:val="21"/>
        </w:rPr>
        <w:t>(6)</w:t>
      </w:r>
      <w:r>
        <w:rPr>
          <w:rFonts w:hint="eastAsia" w:ascii="微软雅黑" w:hAnsi="微软雅黑" w:eastAsia="微软雅黑" w:cs="宋体"/>
          <w:color w:val="000000"/>
          <w:kern w:val="0"/>
          <w:szCs w:val="21"/>
        </w:rPr>
        <w:t>《危险化学品安全管理条例》</w:t>
      </w:r>
      <w:r>
        <w:rPr>
          <w:rFonts w:ascii="微软雅黑" w:hAnsi="微软雅黑" w:eastAsia="微软雅黑" w:cs="Calibri"/>
          <w:color w:val="000000"/>
          <w:kern w:val="0"/>
          <w:szCs w:val="21"/>
        </w:rPr>
        <w:t>(2013.12.</w:t>
      </w:r>
      <w:r>
        <w:rPr>
          <w:rFonts w:hint="eastAsia" w:ascii="微软雅黑" w:hAnsi="微软雅黑" w:eastAsia="微软雅黑" w:cs="Calibri"/>
          <w:color w:val="000000"/>
          <w:kern w:val="0"/>
          <w:szCs w:val="21"/>
        </w:rPr>
        <w:t>0</w:t>
      </w:r>
      <w:r>
        <w:rPr>
          <w:rFonts w:ascii="微软雅黑" w:hAnsi="微软雅黑" w:eastAsia="微软雅黑" w:cs="Calibri"/>
          <w:color w:val="000000"/>
          <w:kern w:val="0"/>
          <w:szCs w:val="21"/>
        </w:rPr>
        <w:t xml:space="preserve">7) </w:t>
      </w:r>
      <w:r>
        <w:rPr>
          <w:rFonts w:hint="eastAsia" w:ascii="微软雅黑" w:hAnsi="微软雅黑" w:eastAsia="微软雅黑" w:cs="宋体"/>
          <w:color w:val="000000"/>
          <w:kern w:val="0"/>
          <w:szCs w:val="21"/>
        </w:rPr>
        <w:t>国务院第</w:t>
      </w:r>
      <w:r>
        <w:rPr>
          <w:rFonts w:ascii="微软雅黑" w:hAnsi="微软雅黑" w:eastAsia="微软雅黑" w:cs="Calibri"/>
          <w:color w:val="000000"/>
          <w:kern w:val="0"/>
          <w:szCs w:val="21"/>
        </w:rPr>
        <w:t>645</w:t>
      </w:r>
      <w:r>
        <w:rPr>
          <w:rFonts w:hint="eastAsia" w:ascii="微软雅黑" w:hAnsi="微软雅黑" w:eastAsia="微软雅黑" w:cs="宋体"/>
          <w:color w:val="000000"/>
          <w:kern w:val="0"/>
          <w:szCs w:val="21"/>
        </w:rPr>
        <w:t>号令</w:t>
      </w:r>
    </w:p>
    <w:p>
      <w:pPr>
        <w:widowControl/>
        <w:snapToGrid w:val="0"/>
        <w:jc w:val="left"/>
        <w:rPr>
          <w:rFonts w:ascii="微软雅黑" w:hAnsi="微软雅黑" w:eastAsia="微软雅黑"/>
          <w:szCs w:val="21"/>
        </w:rPr>
      </w:pPr>
      <w:r>
        <w:rPr>
          <w:rFonts w:ascii="微软雅黑" w:hAnsi="微软雅黑" w:eastAsia="微软雅黑" w:cs="Calibri"/>
          <w:color w:val="000000"/>
          <w:kern w:val="0"/>
          <w:szCs w:val="21"/>
        </w:rPr>
        <w:t>(7)</w:t>
      </w:r>
      <w:r>
        <w:rPr>
          <w:rFonts w:hint="eastAsia" w:ascii="微软雅黑" w:hAnsi="微软雅黑" w:eastAsia="微软雅黑" w:cs="宋体"/>
          <w:color w:val="000000"/>
          <w:kern w:val="0"/>
          <w:szCs w:val="21"/>
        </w:rPr>
        <w:t>《废弃危险化学品污染环境防治办法》</w:t>
      </w:r>
      <w:r>
        <w:rPr>
          <w:rFonts w:ascii="微软雅黑" w:hAnsi="微软雅黑" w:eastAsia="微软雅黑" w:cs="Calibri"/>
          <w:color w:val="000000"/>
          <w:kern w:val="0"/>
          <w:szCs w:val="21"/>
        </w:rPr>
        <w:t>(2005.</w:t>
      </w:r>
      <w:r>
        <w:rPr>
          <w:rFonts w:hint="eastAsia" w:ascii="微软雅黑" w:hAnsi="微软雅黑" w:eastAsia="微软雅黑" w:cs="Calibri"/>
          <w:color w:val="000000"/>
          <w:kern w:val="0"/>
          <w:szCs w:val="21"/>
        </w:rPr>
        <w:t>0</w:t>
      </w:r>
      <w:r>
        <w:rPr>
          <w:rFonts w:ascii="微软雅黑" w:hAnsi="微软雅黑" w:eastAsia="微软雅黑" w:cs="Calibri"/>
          <w:color w:val="000000"/>
          <w:kern w:val="0"/>
          <w:szCs w:val="21"/>
        </w:rPr>
        <w:t xml:space="preserve">8.30) </w:t>
      </w:r>
      <w:r>
        <w:rPr>
          <w:rFonts w:hint="eastAsia" w:ascii="微软雅黑" w:hAnsi="微软雅黑" w:eastAsia="微软雅黑" w:cs="宋体"/>
          <w:color w:val="000000"/>
          <w:kern w:val="0"/>
          <w:szCs w:val="21"/>
        </w:rPr>
        <w:t>国家环境保护总局令第</w:t>
      </w:r>
      <w:r>
        <w:rPr>
          <w:rFonts w:ascii="微软雅黑" w:hAnsi="微软雅黑" w:eastAsia="微软雅黑" w:cs="Calibri"/>
          <w:color w:val="000000"/>
          <w:kern w:val="0"/>
          <w:szCs w:val="21"/>
        </w:rPr>
        <w:t>27</w:t>
      </w:r>
      <w:r>
        <w:rPr>
          <w:rFonts w:hint="eastAsia" w:ascii="微软雅黑" w:hAnsi="微软雅黑" w:eastAsia="微软雅黑" w:cs="宋体"/>
          <w:color w:val="000000"/>
          <w:kern w:val="0"/>
          <w:szCs w:val="21"/>
        </w:rPr>
        <w:t>号</w:t>
      </w:r>
    </w:p>
    <w:p>
      <w:pPr>
        <w:widowControl/>
        <w:snapToGrid w:val="0"/>
        <w:jc w:val="left"/>
        <w:rPr>
          <w:rFonts w:ascii="微软雅黑" w:hAnsi="微软雅黑" w:eastAsia="微软雅黑"/>
          <w:szCs w:val="21"/>
        </w:rPr>
      </w:pPr>
      <w:r>
        <w:rPr>
          <w:rFonts w:ascii="微软雅黑" w:hAnsi="微软雅黑" w:eastAsia="微软雅黑" w:cs="Calibri"/>
          <w:color w:val="000000"/>
          <w:kern w:val="0"/>
          <w:szCs w:val="21"/>
        </w:rPr>
        <w:t>(8)</w:t>
      </w:r>
      <w:r>
        <w:rPr>
          <w:rFonts w:hint="eastAsia" w:ascii="微软雅黑" w:hAnsi="微软雅黑" w:eastAsia="微软雅黑" w:cs="宋体"/>
          <w:color w:val="000000"/>
          <w:kern w:val="0"/>
          <w:szCs w:val="21"/>
        </w:rPr>
        <w:t>《地表水环境质量标准》(</w:t>
      </w:r>
      <w:r>
        <w:rPr>
          <w:rFonts w:ascii="微软雅黑" w:hAnsi="微软雅黑" w:eastAsia="微软雅黑" w:cs="Times New Roman"/>
          <w:color w:val="000000"/>
          <w:kern w:val="0"/>
          <w:szCs w:val="21"/>
        </w:rPr>
        <w:t>GB3838-2002</w:t>
      </w:r>
      <w:r>
        <w:rPr>
          <w:rFonts w:hint="eastAsia" w:ascii="微软雅黑" w:hAnsi="微软雅黑" w:eastAsia="微软雅黑" w:cs="宋体"/>
          <w:color w:val="000000"/>
          <w:kern w:val="0"/>
          <w:szCs w:val="21"/>
        </w:rPr>
        <w:t>)</w:t>
      </w:r>
    </w:p>
    <w:p>
      <w:pPr>
        <w:widowControl/>
        <w:snapToGrid w:val="0"/>
        <w:jc w:val="left"/>
        <w:rPr>
          <w:rFonts w:ascii="微软雅黑" w:hAnsi="微软雅黑" w:eastAsia="微软雅黑"/>
          <w:szCs w:val="21"/>
        </w:rPr>
      </w:pPr>
      <w:r>
        <w:rPr>
          <w:rFonts w:ascii="微软雅黑" w:hAnsi="微软雅黑" w:eastAsia="微软雅黑" w:cs="Calibri"/>
          <w:color w:val="000000"/>
          <w:kern w:val="0"/>
          <w:szCs w:val="21"/>
        </w:rPr>
        <w:t>(</w:t>
      </w:r>
      <w:r>
        <w:rPr>
          <w:rFonts w:hint="eastAsia" w:ascii="微软雅黑" w:hAnsi="微软雅黑" w:eastAsia="微软雅黑" w:cs="Calibri"/>
          <w:color w:val="000000"/>
          <w:kern w:val="0"/>
          <w:szCs w:val="21"/>
        </w:rPr>
        <w:t>9</w:t>
      </w:r>
      <w:r>
        <w:rPr>
          <w:rFonts w:ascii="微软雅黑" w:hAnsi="微软雅黑" w:eastAsia="微软雅黑" w:cs="Calibri"/>
          <w:color w:val="000000"/>
          <w:kern w:val="0"/>
          <w:szCs w:val="21"/>
        </w:rPr>
        <w:t>)</w:t>
      </w:r>
      <w:r>
        <w:rPr>
          <w:rFonts w:hint="eastAsia" w:ascii="微软雅黑" w:hAnsi="微软雅黑" w:eastAsia="微软雅黑" w:cs="宋体"/>
          <w:color w:val="000000"/>
          <w:kern w:val="0"/>
          <w:szCs w:val="21"/>
        </w:rPr>
        <w:t>《危险化学品重大危险源辨识》</w:t>
      </w:r>
      <w:r>
        <w:rPr>
          <w:rFonts w:ascii="微软雅黑" w:hAnsi="微软雅黑" w:eastAsia="微软雅黑" w:cs="Calibri"/>
          <w:color w:val="000000"/>
          <w:kern w:val="0"/>
          <w:szCs w:val="21"/>
        </w:rPr>
        <w:t>(GB18218-2009)</w:t>
      </w:r>
    </w:p>
    <w:p>
      <w:pPr>
        <w:widowControl/>
        <w:snapToGrid w:val="0"/>
        <w:jc w:val="left"/>
        <w:rPr>
          <w:rFonts w:ascii="微软雅黑" w:hAnsi="微软雅黑" w:eastAsia="微软雅黑"/>
          <w:szCs w:val="21"/>
        </w:rPr>
      </w:pPr>
      <w:r>
        <w:rPr>
          <w:rFonts w:ascii="微软雅黑" w:hAnsi="微软雅黑" w:eastAsia="微软雅黑" w:cs="Calibri"/>
          <w:color w:val="000000"/>
          <w:kern w:val="0"/>
          <w:szCs w:val="21"/>
        </w:rPr>
        <w:t>(1</w:t>
      </w:r>
      <w:r>
        <w:rPr>
          <w:rFonts w:hint="eastAsia" w:ascii="微软雅黑" w:hAnsi="微软雅黑" w:eastAsia="微软雅黑" w:cs="Calibri"/>
          <w:color w:val="000000"/>
          <w:kern w:val="0"/>
          <w:szCs w:val="21"/>
        </w:rPr>
        <w:t>0</w:t>
      </w:r>
      <w:r>
        <w:rPr>
          <w:rFonts w:ascii="微软雅黑" w:hAnsi="微软雅黑" w:eastAsia="微软雅黑" w:cs="Calibri"/>
          <w:color w:val="000000"/>
          <w:kern w:val="0"/>
          <w:szCs w:val="21"/>
        </w:rPr>
        <w:t>)</w:t>
      </w:r>
      <w:r>
        <w:rPr>
          <w:rFonts w:hint="eastAsia" w:ascii="微软雅黑" w:hAnsi="微软雅黑" w:eastAsia="微软雅黑" w:cs="宋体"/>
          <w:color w:val="000000"/>
          <w:kern w:val="0"/>
          <w:szCs w:val="21"/>
        </w:rPr>
        <w:t>《危险废物贮存污染控制标准》</w:t>
      </w:r>
      <w:r>
        <w:rPr>
          <w:rFonts w:ascii="微软雅黑" w:hAnsi="微软雅黑" w:eastAsia="微软雅黑" w:cs="Calibri"/>
          <w:color w:val="000000"/>
          <w:kern w:val="0"/>
          <w:szCs w:val="21"/>
        </w:rPr>
        <w:t>(GB18596-2001)</w:t>
      </w:r>
    </w:p>
    <w:p>
      <w:pPr>
        <w:snapToGrid w:val="0"/>
        <w:jc w:val="left"/>
        <w:rPr>
          <w:rFonts w:hint="eastAsia" w:ascii="微软雅黑" w:hAnsi="微软雅黑" w:eastAsia="微软雅黑"/>
          <w:b/>
          <w:bCs/>
          <w:szCs w:val="21"/>
        </w:rPr>
      </w:pPr>
    </w:p>
    <w:p>
      <w:pPr>
        <w:snapToGrid w:val="0"/>
        <w:jc w:val="left"/>
        <w:rPr>
          <w:rFonts w:ascii="微软雅黑" w:hAnsi="微软雅黑" w:eastAsia="微软雅黑"/>
          <w:b/>
          <w:bCs/>
          <w:szCs w:val="21"/>
        </w:rPr>
      </w:pPr>
      <w:r>
        <w:rPr>
          <w:rFonts w:hint="eastAsia" w:ascii="微软雅黑" w:hAnsi="微软雅黑" w:eastAsia="微软雅黑"/>
          <w:b/>
          <w:bCs/>
          <w:szCs w:val="21"/>
        </w:rPr>
        <w:t>2、地理位置</w:t>
      </w:r>
    </w:p>
    <w:p>
      <w:pPr>
        <w:snapToGrid w:val="0"/>
        <w:jc w:val="left"/>
        <w:rPr>
          <w:rFonts w:ascii="微软雅黑" w:hAnsi="微软雅黑" w:eastAsia="微软雅黑"/>
          <w:kern w:val="0"/>
          <w:szCs w:val="21"/>
        </w:rPr>
      </w:pPr>
      <w:r>
        <w:rPr>
          <w:rFonts w:ascii="微软雅黑" w:hAnsi="微软雅黑" w:eastAsia="微软雅黑"/>
          <w:szCs w:val="21"/>
        </w:rPr>
        <w:t>【</w:t>
      </w:r>
      <w:r>
        <w:rPr>
          <w:rFonts w:ascii="微软雅黑" w:hAnsi="微软雅黑" w:eastAsia="微软雅黑"/>
          <w:b/>
          <w:szCs w:val="21"/>
        </w:rPr>
        <w:t>地理位置</w:t>
      </w:r>
      <w:r>
        <w:rPr>
          <w:rFonts w:ascii="微软雅黑" w:hAnsi="微软雅黑" w:eastAsia="微软雅黑"/>
          <w:szCs w:val="21"/>
        </w:rPr>
        <w:t>】</w:t>
      </w:r>
    </w:p>
    <w:p>
      <w:pPr>
        <w:adjustRightInd w:val="0"/>
        <w:snapToGrid w:val="0"/>
        <w:ind w:firstLine="420" w:firstLineChars="200"/>
        <w:jc w:val="left"/>
        <w:rPr>
          <w:rFonts w:ascii="微软雅黑" w:hAnsi="微软雅黑" w:eastAsia="微软雅黑"/>
          <w:szCs w:val="21"/>
        </w:rPr>
      </w:pPr>
      <w:r>
        <w:rPr>
          <w:rFonts w:hint="eastAsia" w:ascii="微软雅黑" w:hAnsi="微软雅黑" w:eastAsia="微软雅黑"/>
          <w:szCs w:val="21"/>
        </w:rPr>
        <w:t>淮北市地处安徽省的北部，苏、鲁、豫、皖四省交界处。东北方向隔萧县与江苏省徐州市、向北与山东省济宁市相望，南与本省宿州市、淮南市、阜阳市相接，西与河南省永城市相邻。淮北市已形成公路、铁路、内河航运为主的交通网络。符夹线、青阜线、青芦线穿境而过，可北接陇海线、东接京沪线、西通京九线。连霍高速、合徐高速也在淮北市境内穿过，内河航运可通上海港，距离徐州市观音机场约60km。因此该项目地理位置优越，交通便捷。</w:t>
      </w:r>
    </w:p>
    <w:p>
      <w:pPr>
        <w:adjustRightInd w:val="0"/>
        <w:snapToGrid w:val="0"/>
        <w:ind w:firstLine="420" w:firstLineChars="200"/>
        <w:jc w:val="left"/>
        <w:rPr>
          <w:rFonts w:ascii="微软雅黑" w:hAnsi="微软雅黑" w:eastAsia="微软雅黑"/>
          <w:color w:val="000000"/>
          <w:szCs w:val="21"/>
        </w:rPr>
      </w:pPr>
      <w:r>
        <w:rPr>
          <w:rFonts w:hint="eastAsia" w:ascii="微软雅黑" w:hAnsi="微软雅黑" w:eastAsia="微软雅黑"/>
          <w:szCs w:val="21"/>
        </w:rPr>
        <w:t>濉溪经济开发区东近连云港，西连商丘、开封，南接宿州、蚌埠，北临徐</w:t>
      </w:r>
      <w:r>
        <w:rPr>
          <w:rFonts w:hint="eastAsia" w:ascii="微软雅黑" w:hAnsi="微软雅黑" w:eastAsia="微软雅黑"/>
          <w:color w:val="000000"/>
          <w:szCs w:val="21"/>
        </w:rPr>
        <w:t>州；地处东经116°23′-116°59′，北纬33°17′-34°01 ′。</w:t>
      </w:r>
    </w:p>
    <w:p>
      <w:pPr>
        <w:adjustRightInd w:val="0"/>
        <w:snapToGrid w:val="0"/>
        <w:ind w:firstLine="420" w:firstLineChars="200"/>
        <w:jc w:val="left"/>
        <w:rPr>
          <w:rFonts w:ascii="微软雅黑" w:hAnsi="微软雅黑" w:eastAsia="微软雅黑"/>
          <w:color w:val="000000"/>
          <w:szCs w:val="21"/>
        </w:rPr>
      </w:pPr>
      <w:r>
        <w:rPr>
          <w:rFonts w:hint="eastAsia" w:ascii="微软雅黑" w:hAnsi="微软雅黑" w:eastAsia="微软雅黑"/>
          <w:color w:val="000000"/>
          <w:kern w:val="0"/>
          <w:szCs w:val="21"/>
        </w:rPr>
        <w:t>本项目选址位于濉溪经济开发</w:t>
      </w:r>
      <w:r>
        <w:rPr>
          <w:rFonts w:hint="eastAsia" w:ascii="微软雅黑" w:hAnsi="微软雅黑" w:eastAsia="微软雅黑"/>
          <w:color w:val="000000"/>
          <w:kern w:val="0"/>
          <w:szCs w:val="21"/>
          <w:highlight w:val="none"/>
        </w:rPr>
        <w:t>区樱花西路</w:t>
      </w:r>
      <w:r>
        <w:rPr>
          <w:rFonts w:hint="eastAsia" w:ascii="微软雅黑" w:hAnsi="微软雅黑" w:eastAsia="微软雅黑"/>
          <w:color w:val="000000"/>
          <w:kern w:val="0"/>
          <w:szCs w:val="21"/>
          <w:highlight w:val="none"/>
          <w:lang w:eastAsia="zh-CN"/>
        </w:rPr>
        <w:t>安徽中基电池箔科技有限公司</w:t>
      </w:r>
      <w:r>
        <w:rPr>
          <w:rFonts w:hint="eastAsia" w:ascii="微软雅黑" w:hAnsi="微软雅黑" w:eastAsia="微软雅黑"/>
          <w:color w:val="000000"/>
          <w:kern w:val="0"/>
          <w:szCs w:val="21"/>
          <w:highlight w:val="none"/>
        </w:rPr>
        <w:t>现有公司预留的空</w:t>
      </w:r>
      <w:r>
        <w:rPr>
          <w:rFonts w:hint="eastAsia" w:ascii="微软雅黑" w:hAnsi="微软雅黑" w:eastAsia="微软雅黑"/>
          <w:color w:val="000000"/>
          <w:kern w:val="0"/>
          <w:szCs w:val="21"/>
        </w:rPr>
        <w:t>地上</w:t>
      </w:r>
      <w:r>
        <w:rPr>
          <w:rFonts w:hint="eastAsia" w:ascii="微软雅黑" w:hAnsi="微软雅黑" w:eastAsia="微软雅黑"/>
          <w:color w:val="000000"/>
          <w:szCs w:val="21"/>
        </w:rPr>
        <w:t>。</w:t>
      </w:r>
    </w:p>
    <w:p>
      <w:pPr>
        <w:snapToGrid w:val="0"/>
        <w:jc w:val="left"/>
        <w:rPr>
          <w:rFonts w:ascii="微软雅黑" w:hAnsi="微软雅黑" w:eastAsia="微软雅黑"/>
          <w:b/>
          <w:szCs w:val="21"/>
        </w:rPr>
      </w:pPr>
      <w:r>
        <w:rPr>
          <w:rFonts w:ascii="微软雅黑" w:hAnsi="微软雅黑" w:eastAsia="微软雅黑"/>
          <w:b/>
          <w:szCs w:val="21"/>
        </w:rPr>
        <w:t>【地形地貌地质】</w:t>
      </w:r>
    </w:p>
    <w:p>
      <w:pPr>
        <w:adjustRightInd w:val="0"/>
        <w:snapToGrid w:val="0"/>
        <w:ind w:firstLine="420" w:firstLineChars="200"/>
        <w:jc w:val="left"/>
        <w:rPr>
          <w:rFonts w:ascii="微软雅黑" w:hAnsi="微软雅黑" w:eastAsia="微软雅黑"/>
          <w:szCs w:val="21"/>
        </w:rPr>
      </w:pPr>
      <w:r>
        <w:rPr>
          <w:rFonts w:ascii="微软雅黑" w:hAnsi="微软雅黑" w:eastAsia="微软雅黑"/>
          <w:szCs w:val="21"/>
        </w:rPr>
        <w:t>淮北市地处淮北平原中部，地势自西北向东南微倾，除东北部有少量低山地形分布外，其余为广阔平原。其主要类型是：山丘、平原、湖洼地、河流。</w:t>
      </w:r>
    </w:p>
    <w:p>
      <w:pPr>
        <w:adjustRightInd w:val="0"/>
        <w:snapToGrid w:val="0"/>
        <w:ind w:firstLine="420" w:firstLineChars="200"/>
        <w:jc w:val="left"/>
        <w:rPr>
          <w:rFonts w:ascii="微软雅黑" w:hAnsi="微软雅黑" w:eastAsia="微软雅黑"/>
          <w:szCs w:val="21"/>
        </w:rPr>
      </w:pPr>
      <w:r>
        <w:rPr>
          <w:rFonts w:ascii="微软雅黑" w:hAnsi="微软雅黑" w:eastAsia="微软雅黑"/>
          <w:szCs w:val="21"/>
        </w:rPr>
        <w:t>山脉主要分布在北部及中部偏东，系泰山余脉，海拔在60～400米之间，余者皆为一望无际的平原。其海拔高度23.5～32.4米，面积2354.5平方公里，占全市总面积的85%。以横贯平原中部的古隋堤(今宿永公路)为界，北部为黄泛冲积平原区，土壤肥沃，地面平整，地下水丰富；南部为古老河湖沉积平原，地势较低，地下水位较高，地瘦质差，但增产潜力大。</w:t>
      </w:r>
    </w:p>
    <w:p>
      <w:pPr>
        <w:adjustRightInd w:val="0"/>
        <w:snapToGrid w:val="0"/>
        <w:ind w:firstLine="420" w:firstLineChars="200"/>
        <w:jc w:val="left"/>
        <w:rPr>
          <w:rFonts w:ascii="微软雅黑" w:hAnsi="微软雅黑" w:eastAsia="微软雅黑"/>
          <w:szCs w:val="21"/>
        </w:rPr>
      </w:pPr>
      <w:r>
        <w:rPr>
          <w:rFonts w:ascii="微软雅黑" w:hAnsi="微软雅黑" w:eastAsia="微软雅黑"/>
          <w:szCs w:val="21"/>
        </w:rPr>
        <w:t>封闭型湖洼地主要分布在四铺、百善、铁佛等地区，全系耕地。总面积为86.67平方公里。</w:t>
      </w:r>
    </w:p>
    <w:p>
      <w:pPr>
        <w:adjustRightInd w:val="0"/>
        <w:snapToGrid w:val="0"/>
        <w:ind w:firstLine="420" w:firstLineChars="200"/>
        <w:jc w:val="left"/>
        <w:rPr>
          <w:rFonts w:ascii="微软雅黑" w:hAnsi="微软雅黑" w:eastAsia="微软雅黑"/>
          <w:szCs w:val="21"/>
        </w:rPr>
      </w:pPr>
      <w:r>
        <w:rPr>
          <w:rFonts w:ascii="微软雅黑" w:hAnsi="微软雅黑" w:eastAsia="微软雅黑"/>
          <w:szCs w:val="21"/>
        </w:rPr>
        <w:t>淮北市域境内水系发达，沟渠纵横，河流多系人工河道，河道平直，水量受季节影响，变化较大，夏季水流量大、水流急，冬季河水变浅，水流缓慢。</w:t>
      </w:r>
    </w:p>
    <w:p>
      <w:pPr>
        <w:adjustRightInd w:val="0"/>
        <w:snapToGrid w:val="0"/>
        <w:jc w:val="left"/>
        <w:rPr>
          <w:rFonts w:ascii="微软雅黑" w:hAnsi="微软雅黑" w:eastAsia="微软雅黑"/>
          <w:b/>
          <w:spacing w:val="15"/>
          <w:szCs w:val="21"/>
        </w:rPr>
      </w:pPr>
      <w:r>
        <w:rPr>
          <w:rFonts w:ascii="微软雅黑" w:hAnsi="微软雅黑" w:eastAsia="微软雅黑"/>
          <w:szCs w:val="21"/>
        </w:rPr>
        <w:t>【</w:t>
      </w:r>
      <w:r>
        <w:rPr>
          <w:rFonts w:ascii="微软雅黑" w:hAnsi="微软雅黑" w:eastAsia="微软雅黑"/>
          <w:b/>
          <w:szCs w:val="21"/>
        </w:rPr>
        <w:t>水文</w:t>
      </w:r>
      <w:r>
        <w:rPr>
          <w:rFonts w:ascii="微软雅黑" w:hAnsi="微软雅黑" w:eastAsia="微软雅黑"/>
          <w:b/>
          <w:spacing w:val="15"/>
          <w:szCs w:val="21"/>
        </w:rPr>
        <w:t>】</w:t>
      </w:r>
    </w:p>
    <w:p>
      <w:pPr>
        <w:adjustRightInd w:val="0"/>
        <w:snapToGrid w:val="0"/>
        <w:ind w:firstLine="420" w:firstLineChars="200"/>
        <w:jc w:val="left"/>
        <w:rPr>
          <w:rFonts w:ascii="微软雅黑" w:hAnsi="微软雅黑" w:eastAsia="微软雅黑"/>
          <w:b/>
          <w:szCs w:val="21"/>
        </w:rPr>
      </w:pPr>
      <w:r>
        <w:rPr>
          <w:rFonts w:ascii="微软雅黑" w:hAnsi="微软雅黑" w:eastAsia="微软雅黑"/>
          <w:b/>
          <w:szCs w:val="21"/>
        </w:rPr>
        <w:t>(1)地表水</w:t>
      </w:r>
    </w:p>
    <w:p>
      <w:pPr>
        <w:adjustRightInd w:val="0"/>
        <w:snapToGrid w:val="0"/>
        <w:ind w:firstLine="420" w:firstLineChars="200"/>
        <w:jc w:val="left"/>
        <w:rPr>
          <w:rFonts w:ascii="微软雅黑" w:hAnsi="微软雅黑" w:eastAsia="微软雅黑"/>
          <w:szCs w:val="21"/>
        </w:rPr>
      </w:pPr>
      <w:r>
        <w:rPr>
          <w:rFonts w:hint="eastAsia" w:ascii="微软雅黑" w:hAnsi="微软雅黑" w:eastAsia="微软雅黑"/>
          <w:szCs w:val="21"/>
        </w:rPr>
        <w:t>淮北境内共有15条主要河道，较大的河流浍河、沱河、新汴河等。河流的走向与地形基本一致，自西北向东南注入洪泽湖，属于淮河流域，河流主要依靠天然降水补给，属于雨源型河流，季节性强，雨季时河水流量丰富，干旱时常有断流现象。</w:t>
      </w:r>
    </w:p>
    <w:p>
      <w:pPr>
        <w:adjustRightInd w:val="0"/>
        <w:snapToGrid w:val="0"/>
        <w:ind w:firstLine="420" w:firstLineChars="200"/>
        <w:jc w:val="left"/>
        <w:rPr>
          <w:rFonts w:ascii="微软雅黑" w:hAnsi="微软雅黑" w:eastAsia="微软雅黑"/>
          <w:szCs w:val="21"/>
        </w:rPr>
      </w:pPr>
      <w:r>
        <w:rPr>
          <w:rFonts w:hint="eastAsia" w:ascii="微软雅黑" w:hAnsi="微软雅黑" w:eastAsia="微软雅黑"/>
          <w:szCs w:val="21"/>
        </w:rPr>
        <w:t>项目纳污水体为王引河，王引河起于砀山县南部的固口闸始，上承巴清河、大沙河、利民河来水，东南向流；固口闸以下，流经河南省夏邑县窑山集，至高集西进入皖境萧县西南部，沿皖豫边界至刘楼，进入濉溪县境，经刘桥、翟桥，于大秦家闸西，南入东新建沟下沱河。全长77.7 公里。流域面积1241 平方公里。流量203～280 立方米每秒。</w:t>
      </w:r>
    </w:p>
    <w:p>
      <w:pPr>
        <w:adjustRightInd w:val="0"/>
        <w:snapToGrid w:val="0"/>
        <w:ind w:firstLine="420" w:firstLineChars="200"/>
        <w:jc w:val="left"/>
        <w:rPr>
          <w:rFonts w:ascii="微软雅黑" w:hAnsi="微软雅黑" w:eastAsia="微软雅黑"/>
          <w:szCs w:val="21"/>
        </w:rPr>
      </w:pPr>
      <w:r>
        <w:rPr>
          <w:rFonts w:hint="eastAsia" w:ascii="微软雅黑" w:hAnsi="微软雅黑" w:eastAsia="微软雅黑"/>
          <w:szCs w:val="21"/>
        </w:rPr>
        <w:t>王引河旧称“王引沟”，原发源于今</w:t>
      </w:r>
      <w:r>
        <w:fldChar w:fldCharType="begin"/>
      </w:r>
      <w:r>
        <w:instrText xml:space="preserve"> HYPERLINK "http://baike.baidu.com/view/5488.htm" \t "http://baike.baidu.com/_blank" </w:instrText>
      </w:r>
      <w:r>
        <w:fldChar w:fldCharType="separate"/>
      </w:r>
      <w:r>
        <w:rPr>
          <w:rFonts w:hint="eastAsia" w:ascii="微软雅黑" w:hAnsi="微软雅黑" w:eastAsia="微软雅黑"/>
          <w:szCs w:val="21"/>
        </w:rPr>
        <w:t>河南省</w:t>
      </w:r>
      <w:r>
        <w:rPr>
          <w:rFonts w:hint="eastAsia" w:ascii="微软雅黑" w:hAnsi="微软雅黑" w:eastAsia="微软雅黑"/>
          <w:szCs w:val="21"/>
        </w:rPr>
        <w:fldChar w:fldCharType="end"/>
      </w:r>
      <w:r>
        <w:fldChar w:fldCharType="begin"/>
      </w:r>
      <w:r>
        <w:instrText xml:space="preserve"> HYPERLINK "http://baike.baidu.com/view/83148.htm" \t "http://baike.baidu.com/_blank" </w:instrText>
      </w:r>
      <w:r>
        <w:fldChar w:fldCharType="separate"/>
      </w:r>
      <w:r>
        <w:rPr>
          <w:rFonts w:hint="eastAsia" w:ascii="微软雅黑" w:hAnsi="微软雅黑" w:eastAsia="微软雅黑"/>
          <w:szCs w:val="21"/>
        </w:rPr>
        <w:t>永城市</w:t>
      </w:r>
      <w:r>
        <w:rPr>
          <w:rFonts w:hint="eastAsia" w:ascii="微软雅黑" w:hAnsi="微软雅黑" w:eastAsia="微软雅黑"/>
          <w:szCs w:val="21"/>
        </w:rPr>
        <w:fldChar w:fldCharType="end"/>
      </w:r>
      <w:r>
        <w:fldChar w:fldCharType="begin"/>
      </w:r>
      <w:r>
        <w:instrText xml:space="preserve"> HYPERLINK "http://baike.baidu.com/view/735809.htm" \t "http://baike.baidu.com/_blank" </w:instrText>
      </w:r>
      <w:r>
        <w:fldChar w:fldCharType="separate"/>
      </w:r>
      <w:r>
        <w:rPr>
          <w:rFonts w:hint="eastAsia" w:ascii="微软雅黑" w:hAnsi="微软雅黑" w:eastAsia="微软雅黑"/>
          <w:szCs w:val="21"/>
        </w:rPr>
        <w:t>陈集镇</w:t>
      </w:r>
      <w:r>
        <w:rPr>
          <w:rFonts w:hint="eastAsia" w:ascii="微软雅黑" w:hAnsi="微软雅黑" w:eastAsia="微软雅黑"/>
          <w:szCs w:val="21"/>
        </w:rPr>
        <w:fldChar w:fldCharType="end"/>
      </w:r>
      <w:r>
        <w:rPr>
          <w:rFonts w:hint="eastAsia" w:ascii="微软雅黑" w:hAnsi="微软雅黑" w:eastAsia="微软雅黑"/>
          <w:szCs w:val="21"/>
        </w:rPr>
        <w:t>姚楼村，1958年在其北</w:t>
      </w:r>
      <w:r>
        <w:fldChar w:fldCharType="begin"/>
      </w:r>
      <w:r>
        <w:instrText xml:space="preserve"> HYPERLINK "http://baike.baidu.com/view/27969.htm" \t "http://baike.baidu.com/_blank" </w:instrText>
      </w:r>
      <w:r>
        <w:fldChar w:fldCharType="separate"/>
      </w:r>
      <w:r>
        <w:rPr>
          <w:rFonts w:hint="eastAsia" w:ascii="微软雅黑" w:hAnsi="微软雅黑" w:eastAsia="微软雅黑"/>
          <w:szCs w:val="21"/>
        </w:rPr>
        <w:t>安徽省</w:t>
      </w:r>
      <w:r>
        <w:rPr>
          <w:rFonts w:hint="eastAsia" w:ascii="微软雅黑" w:hAnsi="微软雅黑" w:eastAsia="微软雅黑"/>
          <w:szCs w:val="21"/>
        </w:rPr>
        <w:fldChar w:fldCharType="end"/>
      </w:r>
      <w:r>
        <w:fldChar w:fldCharType="begin"/>
      </w:r>
      <w:r>
        <w:instrText xml:space="preserve"> HYPERLINK "http://baike.baidu.com/view/373164.htm" \t "http://baike.baidu.com/_blank" </w:instrText>
      </w:r>
      <w:r>
        <w:fldChar w:fldCharType="separate"/>
      </w:r>
      <w:r>
        <w:rPr>
          <w:rFonts w:hint="eastAsia" w:ascii="微软雅黑" w:hAnsi="微软雅黑" w:eastAsia="微软雅黑"/>
          <w:szCs w:val="21"/>
        </w:rPr>
        <w:t>砀山县</w:t>
      </w:r>
      <w:r>
        <w:rPr>
          <w:rFonts w:hint="eastAsia" w:ascii="微软雅黑" w:hAnsi="微软雅黑" w:eastAsia="微软雅黑"/>
          <w:szCs w:val="21"/>
        </w:rPr>
        <w:fldChar w:fldCharType="end"/>
      </w:r>
      <w:r>
        <w:rPr>
          <w:rFonts w:hint="eastAsia" w:ascii="微软雅黑" w:hAnsi="微软雅黑" w:eastAsia="微软雅黑"/>
          <w:szCs w:val="21"/>
        </w:rPr>
        <w:t>南部扒开沉堤，将原属于</w:t>
      </w:r>
      <w:r>
        <w:fldChar w:fldCharType="begin"/>
      </w:r>
      <w:r>
        <w:instrText xml:space="preserve"> HYPERLINK "http://baike.baidu.com/view/7167173.htm" \t "http://baike.baidu.com/_blank" </w:instrText>
      </w:r>
      <w:r>
        <w:fldChar w:fldCharType="separate"/>
      </w:r>
      <w:r>
        <w:rPr>
          <w:rFonts w:hint="eastAsia" w:ascii="微软雅黑" w:hAnsi="微软雅黑" w:eastAsia="微软雅黑"/>
          <w:szCs w:val="21"/>
        </w:rPr>
        <w:t>洪碱河</w:t>
      </w:r>
      <w:r>
        <w:rPr>
          <w:rFonts w:hint="eastAsia" w:ascii="微软雅黑" w:hAnsi="微软雅黑" w:eastAsia="微软雅黑"/>
          <w:szCs w:val="21"/>
        </w:rPr>
        <w:fldChar w:fldCharType="end"/>
      </w:r>
      <w:r>
        <w:rPr>
          <w:rFonts w:hint="eastAsia" w:ascii="微软雅黑" w:hAnsi="微软雅黑" w:eastAsia="微软雅黑"/>
          <w:szCs w:val="21"/>
        </w:rPr>
        <w:t>水系的巴清河、</w:t>
      </w:r>
      <w:r>
        <w:fldChar w:fldCharType="begin"/>
      </w:r>
      <w:r>
        <w:instrText xml:space="preserve"> HYPERLINK "http://baike.baidu.com/view/378039.htm" \t "http://baike.baidu.com/_blank" </w:instrText>
      </w:r>
      <w:r>
        <w:fldChar w:fldCharType="separate"/>
      </w:r>
      <w:r>
        <w:rPr>
          <w:rFonts w:hint="eastAsia" w:ascii="微软雅黑" w:hAnsi="微软雅黑" w:eastAsia="微软雅黑"/>
          <w:szCs w:val="21"/>
        </w:rPr>
        <w:t>大沙河</w:t>
      </w:r>
      <w:r>
        <w:rPr>
          <w:rFonts w:hint="eastAsia" w:ascii="微软雅黑" w:hAnsi="微软雅黑" w:eastAsia="微软雅黑"/>
          <w:szCs w:val="21"/>
        </w:rPr>
        <w:fldChar w:fldCharType="end"/>
      </w:r>
      <w:r>
        <w:rPr>
          <w:rFonts w:hint="eastAsia" w:ascii="微软雅黑" w:hAnsi="微软雅黑" w:eastAsia="微软雅黑"/>
          <w:szCs w:val="21"/>
        </w:rPr>
        <w:t>和</w:t>
      </w:r>
      <w:r>
        <w:fldChar w:fldCharType="begin"/>
      </w:r>
      <w:r>
        <w:instrText xml:space="preserve"> HYPERLINK "http://baike.baidu.com/view/2189986.htm" \t "http://baike.baidu.com/_blank" </w:instrText>
      </w:r>
      <w:r>
        <w:fldChar w:fldCharType="separate"/>
      </w:r>
      <w:r>
        <w:rPr>
          <w:rFonts w:hint="eastAsia" w:ascii="微软雅黑" w:hAnsi="微软雅黑" w:eastAsia="微软雅黑"/>
          <w:szCs w:val="21"/>
        </w:rPr>
        <w:t>利民河</w:t>
      </w:r>
      <w:r>
        <w:rPr>
          <w:rFonts w:hint="eastAsia" w:ascii="微软雅黑" w:hAnsi="微软雅黑" w:eastAsia="微软雅黑"/>
          <w:szCs w:val="21"/>
        </w:rPr>
        <w:fldChar w:fldCharType="end"/>
      </w:r>
      <w:r>
        <w:rPr>
          <w:rFonts w:hint="eastAsia" w:ascii="微软雅黑" w:hAnsi="微软雅黑" w:eastAsia="微软雅黑"/>
          <w:szCs w:val="21"/>
        </w:rPr>
        <w:t>引入王引河。故现今王引河源自砀山县的陈堤口，东南流经永城市东部地区，沿河南安徽省界，流入安徽省濉溪县境内，东南流至</w:t>
      </w:r>
      <w:r>
        <w:fldChar w:fldCharType="begin"/>
      </w:r>
      <w:r>
        <w:instrText xml:space="preserve"> HYPERLINK "http://baike.baidu.com/view/7511.htm" \t "http://baike.baidu.com/_blank" </w:instrText>
      </w:r>
      <w:r>
        <w:fldChar w:fldCharType="separate"/>
      </w:r>
      <w:r>
        <w:rPr>
          <w:rFonts w:hint="eastAsia" w:ascii="微软雅黑" w:hAnsi="微软雅黑" w:eastAsia="微软雅黑"/>
          <w:szCs w:val="21"/>
        </w:rPr>
        <w:t>淮北市</w:t>
      </w:r>
      <w:r>
        <w:rPr>
          <w:rFonts w:hint="eastAsia" w:ascii="微软雅黑" w:hAnsi="微软雅黑" w:eastAsia="微软雅黑"/>
          <w:szCs w:val="21"/>
        </w:rPr>
        <w:fldChar w:fldCharType="end"/>
      </w:r>
      <w:r>
        <w:fldChar w:fldCharType="begin"/>
      </w:r>
      <w:r>
        <w:instrText xml:space="preserve"> HYPERLINK "http://baike.baidu.com/view/729873.htm" \t "http://baike.baidu.com/_blank" </w:instrText>
      </w:r>
      <w:r>
        <w:fldChar w:fldCharType="separate"/>
      </w:r>
      <w:r>
        <w:rPr>
          <w:rFonts w:hint="eastAsia" w:ascii="微软雅黑" w:hAnsi="微软雅黑" w:eastAsia="微软雅黑"/>
          <w:szCs w:val="21"/>
        </w:rPr>
        <w:t>烈山区</w:t>
      </w:r>
      <w:r>
        <w:rPr>
          <w:rFonts w:hint="eastAsia" w:ascii="微软雅黑" w:hAnsi="微软雅黑" w:eastAsia="微软雅黑"/>
          <w:szCs w:val="21"/>
        </w:rPr>
        <w:fldChar w:fldCharType="end"/>
      </w:r>
      <w:r>
        <w:fldChar w:fldCharType="begin"/>
      </w:r>
      <w:r>
        <w:instrText xml:space="preserve"> HYPERLINK "http://baike.baidu.com/view/2695083.htm" \t "http://baike.baidu.com/_blank" </w:instrText>
      </w:r>
      <w:r>
        <w:fldChar w:fldCharType="separate"/>
      </w:r>
      <w:r>
        <w:rPr>
          <w:rFonts w:hint="eastAsia" w:ascii="微软雅黑" w:hAnsi="微软雅黑" w:eastAsia="微软雅黑"/>
          <w:szCs w:val="21"/>
        </w:rPr>
        <w:t>古饶镇</w:t>
      </w:r>
      <w:r>
        <w:rPr>
          <w:rFonts w:hint="eastAsia" w:ascii="微软雅黑" w:hAnsi="微软雅黑" w:eastAsia="微软雅黑"/>
          <w:szCs w:val="21"/>
        </w:rPr>
        <w:fldChar w:fldCharType="end"/>
      </w:r>
      <w:r>
        <w:rPr>
          <w:rFonts w:hint="eastAsia" w:ascii="微软雅黑" w:hAnsi="微软雅黑" w:eastAsia="微软雅黑"/>
          <w:szCs w:val="21"/>
        </w:rPr>
        <w:t>的大秦家闸经东新建沟汇入沱河。全长80公里，流域面积1241公里。</w:t>
      </w:r>
    </w:p>
    <w:p>
      <w:pPr>
        <w:adjustRightInd w:val="0"/>
        <w:snapToGrid w:val="0"/>
        <w:ind w:firstLine="420" w:firstLineChars="200"/>
        <w:jc w:val="left"/>
        <w:rPr>
          <w:rFonts w:ascii="微软雅黑" w:hAnsi="微软雅黑" w:eastAsia="微软雅黑"/>
          <w:szCs w:val="21"/>
        </w:rPr>
      </w:pPr>
      <w:r>
        <w:rPr>
          <w:rFonts w:hint="eastAsia" w:ascii="微软雅黑" w:hAnsi="微软雅黑" w:eastAsia="微软雅黑"/>
          <w:szCs w:val="21"/>
        </w:rPr>
        <w:t>扒河又名南股河，在宿州称唐河，发源于濉溪县杨十楼北，是南沱河支流。经永城县赵王庄东进入濉溪县，流经潘刘庄、翟桥到秦桥入宿县。1951年治理南沱河时，在县境内的洪河头将巴河堵死，把上游截入洪河，翟桥以下改称新北沱河。今巴河，自洪河头开始至翟桥。1974年冬疏浚小运河时，使巴河西段来水与王引河改道段相通，排入南沱河。受益范围有溪河、王堰、小城、徐楼、洪河头。</w:t>
      </w:r>
    </w:p>
    <w:p>
      <w:pPr>
        <w:adjustRightInd w:val="0"/>
        <w:snapToGrid w:val="0"/>
        <w:ind w:firstLine="420" w:firstLineChars="200"/>
        <w:jc w:val="left"/>
        <w:rPr>
          <w:rFonts w:ascii="微软雅黑" w:hAnsi="微软雅黑" w:eastAsia="微软雅黑"/>
          <w:b/>
          <w:szCs w:val="21"/>
        </w:rPr>
      </w:pPr>
      <w:r>
        <w:rPr>
          <w:rFonts w:ascii="微软雅黑" w:hAnsi="微软雅黑" w:eastAsia="微软雅黑"/>
          <w:b/>
          <w:szCs w:val="21"/>
        </w:rPr>
        <w:t>(2)地下水</w:t>
      </w:r>
    </w:p>
    <w:p>
      <w:pPr>
        <w:adjustRightInd w:val="0"/>
        <w:snapToGrid w:val="0"/>
        <w:ind w:firstLine="420" w:firstLineChars="200"/>
        <w:jc w:val="left"/>
        <w:rPr>
          <w:rFonts w:ascii="微软雅黑" w:hAnsi="微软雅黑" w:eastAsia="微软雅黑"/>
          <w:szCs w:val="21"/>
        </w:rPr>
      </w:pPr>
      <w:r>
        <w:rPr>
          <w:rFonts w:hint="eastAsia" w:ascii="微软雅黑" w:hAnsi="微软雅黑" w:eastAsia="微软雅黑"/>
          <w:szCs w:val="21"/>
        </w:rPr>
        <w:t>淮北市地下水资源丰富，主要由第四系潜水和裂隙岩溶承压水构成，共分为相山，青龙山至王场和符离集三个水系。据安徽省地质矿产局第一水文队勘探结果，辖区内地下水开采模数累计为4.16～5.04万t/h，其中第四系浅层，地下水开采模</w:t>
      </w:r>
      <w:r>
        <w:rPr>
          <w:rFonts w:ascii="微软雅黑" w:hAnsi="微软雅黑" w:eastAsia="微软雅黑"/>
          <w:szCs w:val="21"/>
        </w:rPr>
        <w:t>数为15～25万t/(a·km2)市区北部偏大，浅层水资源为2.6～3.4万t/h。浅层水主要来源于降水淌沿裸露基岩山区和基岩浅埋区上复松散层，以及平原区陆面入渗蓄存和向下越层补给形成的。这部分水资源属上面分布，难以集中开采，其水</w:t>
      </w:r>
      <w:r>
        <w:rPr>
          <w:rFonts w:hint="eastAsia" w:ascii="微软雅黑" w:hAnsi="微软雅黑" w:eastAsia="微软雅黑"/>
          <w:szCs w:val="21"/>
        </w:rPr>
        <w:t>质主要受土壤和地表水质影响。岩溶承压水开采模数为1.56～1.64万t/h，它是全市最重要的水源之一，由寒武、奥陶系石灰岩露组成萧相背斜和闸河向斜共同组成淮北深层承压水含水构造体系。深层第四系潜水的影响。这部分的功能主要是全市工业和城镇生活用水，开采量。</w:t>
      </w:r>
    </w:p>
    <w:p>
      <w:pPr>
        <w:snapToGrid w:val="0"/>
        <w:jc w:val="left"/>
        <w:rPr>
          <w:rFonts w:ascii="微软雅黑" w:hAnsi="微软雅黑" w:eastAsia="微软雅黑"/>
          <w:b/>
          <w:bCs/>
          <w:szCs w:val="21"/>
        </w:rPr>
      </w:pPr>
      <w:r>
        <w:rPr>
          <w:rFonts w:ascii="微软雅黑" w:hAnsi="微软雅黑" w:eastAsia="微软雅黑"/>
          <w:b/>
          <w:bCs/>
          <w:szCs w:val="21"/>
        </w:rPr>
        <w:t>地表水环境质量现状</w:t>
      </w:r>
    </w:p>
    <w:p>
      <w:pPr>
        <w:pStyle w:val="6"/>
        <w:ind w:firstLine="420"/>
        <w:jc w:val="left"/>
        <w:rPr>
          <w:rFonts w:hint="default" w:ascii="微软雅黑" w:hAnsi="微软雅黑" w:eastAsia="微软雅黑"/>
          <w:szCs w:val="21"/>
          <w:highlight w:val="none"/>
          <w:lang w:val="en-US"/>
        </w:rPr>
      </w:pPr>
      <w:r>
        <w:rPr>
          <w:rFonts w:ascii="微软雅黑" w:hAnsi="微软雅黑" w:eastAsia="微软雅黑"/>
          <w:szCs w:val="21"/>
        </w:rPr>
        <w:t>本次地表水环境质量</w:t>
      </w:r>
      <w:r>
        <w:rPr>
          <w:rFonts w:ascii="微软雅黑" w:hAnsi="微软雅黑" w:eastAsia="微软雅黑"/>
          <w:szCs w:val="21"/>
          <w:highlight w:val="none"/>
        </w:rPr>
        <w:t>现状评价引用</w:t>
      </w:r>
      <w:r>
        <w:rPr>
          <w:rFonts w:hint="eastAsia" w:ascii="微软雅黑" w:hAnsi="微软雅黑" w:eastAsia="微软雅黑"/>
          <w:szCs w:val="21"/>
          <w:highlight w:val="none"/>
        </w:rPr>
        <w:t>2022年</w:t>
      </w:r>
      <w:r>
        <w:rPr>
          <w:rFonts w:hint="eastAsia" w:ascii="微软雅黑" w:hAnsi="微软雅黑" w:eastAsia="微软雅黑"/>
          <w:szCs w:val="21"/>
          <w:highlight w:val="none"/>
          <w:lang w:val="en-US" w:eastAsia="zh-CN"/>
        </w:rPr>
        <w:t>10</w:t>
      </w:r>
      <w:r>
        <w:rPr>
          <w:rFonts w:hint="eastAsia" w:ascii="微软雅黑" w:hAnsi="微软雅黑" w:eastAsia="微软雅黑"/>
          <w:szCs w:val="21"/>
          <w:highlight w:val="none"/>
        </w:rPr>
        <w:t>月</w:t>
      </w:r>
      <w:r>
        <w:rPr>
          <w:rFonts w:hint="eastAsia" w:ascii="微软雅黑" w:hAnsi="微软雅黑" w:eastAsia="微软雅黑"/>
          <w:szCs w:val="21"/>
          <w:highlight w:val="none"/>
          <w:lang w:val="en-US" w:eastAsia="zh-CN"/>
        </w:rPr>
        <w:t>安徽中基公司委托安徽圣泰检测科技有限公司进行的《土壤隐患排查项目》检测报告，</w:t>
      </w:r>
      <w:r>
        <w:rPr>
          <w:rFonts w:hint="eastAsia" w:ascii="微软雅黑" w:hAnsi="微软雅黑" w:eastAsia="微软雅黑"/>
          <w:szCs w:val="21"/>
          <w:highlight w:val="none"/>
        </w:rPr>
        <w:t>参照《土壤环境监测技术规范》（HJ/T 166-2004）和《地下水环境监测技术规范》（HJ/T 164-2004）的要求。</w:t>
      </w:r>
    </w:p>
    <w:p>
      <w:pPr>
        <w:adjustRightInd w:val="0"/>
        <w:snapToGrid w:val="0"/>
        <w:ind w:firstLine="420" w:firstLineChars="200"/>
        <w:jc w:val="left"/>
        <w:rPr>
          <w:rFonts w:ascii="微软雅黑" w:hAnsi="微软雅黑" w:eastAsia="微软雅黑"/>
          <w:bCs/>
          <w:szCs w:val="21"/>
        </w:rPr>
      </w:pPr>
      <w:r>
        <w:rPr>
          <w:rFonts w:hint="eastAsia" w:ascii="微软雅黑" w:hAnsi="微软雅黑" w:eastAsia="微软雅黑"/>
          <w:kern w:val="0"/>
          <w:szCs w:val="21"/>
        </w:rPr>
        <w:t>对于地块地下水中污染物，本次监测结果主要参考《地下水质量标准》（GB/T14848-2017），该标准依据我国地下水质量状况和人体健康风险，参考生活饮用水、工业、农业等用水质量要求，将地下水质量分为5类，本地块规划用地（第二类用地）范围不在地下水饮用水源保护区内，故选用GB/T 14848-2017中的IV类水标准和《上海市建设用地土壤污染状况调查、风险评估、风险管控与修复方案编制、风险管控与修复效果评估工作的补充规定（试行）》（沪环土〔2020〕62 号）作为筛选值。</w:t>
      </w:r>
      <w:r>
        <w:rPr>
          <w:rFonts w:hint="eastAsia" w:ascii="微软雅黑" w:hAnsi="微软雅黑" w:eastAsia="微软雅黑"/>
          <w:bCs/>
          <w:szCs w:val="21"/>
        </w:rPr>
        <w:t>具体</w:t>
      </w:r>
      <w:r>
        <w:rPr>
          <w:rFonts w:ascii="微软雅黑" w:hAnsi="微软雅黑" w:eastAsia="微软雅黑"/>
          <w:bCs/>
          <w:szCs w:val="21"/>
        </w:rPr>
        <w:t>监测结果统计见表</w:t>
      </w:r>
      <w:r>
        <w:rPr>
          <w:rFonts w:hint="eastAsia" w:ascii="微软雅黑" w:hAnsi="微软雅黑" w:eastAsia="微软雅黑"/>
          <w:bCs/>
          <w:szCs w:val="21"/>
        </w:rPr>
        <w:t>1</w:t>
      </w:r>
      <w:r>
        <w:rPr>
          <w:rFonts w:ascii="微软雅黑" w:hAnsi="微软雅黑" w:eastAsia="微软雅黑"/>
          <w:bCs/>
          <w:szCs w:val="21"/>
        </w:rPr>
        <w:t>。</w:t>
      </w:r>
    </w:p>
    <w:p>
      <w:pPr>
        <w:adjustRightInd w:val="0"/>
        <w:snapToGrid w:val="0"/>
        <w:ind w:firstLine="420" w:firstLineChars="200"/>
        <w:jc w:val="left"/>
        <w:rPr>
          <w:rFonts w:ascii="微软雅黑" w:hAnsi="微软雅黑" w:eastAsia="微软雅黑"/>
          <w:bCs/>
          <w:szCs w:val="21"/>
        </w:rPr>
      </w:pPr>
    </w:p>
    <w:p>
      <w:pPr>
        <w:adjustRightInd w:val="0"/>
        <w:snapToGrid w:val="0"/>
        <w:ind w:firstLine="420" w:firstLineChars="200"/>
        <w:jc w:val="left"/>
        <w:rPr>
          <w:rFonts w:ascii="微软雅黑" w:hAnsi="微软雅黑" w:eastAsia="微软雅黑"/>
          <w:bCs/>
          <w:szCs w:val="21"/>
        </w:rPr>
      </w:pPr>
    </w:p>
    <w:p>
      <w:pPr>
        <w:adjustRightInd w:val="0"/>
        <w:snapToGrid w:val="0"/>
        <w:ind w:firstLine="420" w:firstLineChars="200"/>
        <w:jc w:val="left"/>
        <w:rPr>
          <w:rFonts w:ascii="微软雅黑" w:hAnsi="微软雅黑" w:eastAsia="微软雅黑"/>
          <w:bCs/>
          <w:szCs w:val="21"/>
        </w:rPr>
      </w:pPr>
    </w:p>
    <w:p>
      <w:pPr>
        <w:adjustRightInd w:val="0"/>
        <w:snapToGrid w:val="0"/>
        <w:ind w:firstLine="420" w:firstLineChars="200"/>
        <w:jc w:val="left"/>
        <w:rPr>
          <w:rFonts w:ascii="微软雅黑" w:hAnsi="微软雅黑" w:eastAsia="微软雅黑"/>
          <w:bCs/>
          <w:szCs w:val="21"/>
        </w:rPr>
      </w:pPr>
    </w:p>
    <w:p>
      <w:pPr>
        <w:adjustRightInd w:val="0"/>
        <w:snapToGrid w:val="0"/>
        <w:ind w:firstLine="420" w:firstLineChars="200"/>
        <w:jc w:val="left"/>
        <w:rPr>
          <w:rFonts w:ascii="微软雅黑" w:hAnsi="微软雅黑" w:eastAsia="微软雅黑"/>
          <w:bCs/>
          <w:szCs w:val="21"/>
        </w:rPr>
      </w:pPr>
    </w:p>
    <w:p>
      <w:pPr>
        <w:adjustRightInd w:val="0"/>
        <w:snapToGrid w:val="0"/>
        <w:ind w:firstLine="420" w:firstLineChars="200"/>
        <w:jc w:val="left"/>
        <w:rPr>
          <w:rFonts w:ascii="微软雅黑" w:hAnsi="微软雅黑" w:eastAsia="微软雅黑"/>
          <w:bCs/>
          <w:szCs w:val="21"/>
        </w:rPr>
      </w:pPr>
    </w:p>
    <w:p>
      <w:pPr>
        <w:adjustRightInd w:val="0"/>
        <w:snapToGrid w:val="0"/>
        <w:ind w:firstLine="420" w:firstLineChars="200"/>
        <w:jc w:val="left"/>
        <w:rPr>
          <w:rFonts w:ascii="微软雅黑" w:hAnsi="微软雅黑" w:eastAsia="微软雅黑"/>
          <w:bCs/>
          <w:szCs w:val="21"/>
        </w:rPr>
      </w:pPr>
    </w:p>
    <w:p>
      <w:pPr>
        <w:adjustRightInd w:val="0"/>
        <w:snapToGrid w:val="0"/>
        <w:ind w:firstLine="420" w:firstLineChars="200"/>
        <w:jc w:val="left"/>
        <w:rPr>
          <w:rFonts w:ascii="微软雅黑" w:hAnsi="微软雅黑" w:eastAsia="微软雅黑"/>
          <w:bCs/>
          <w:szCs w:val="21"/>
        </w:rPr>
      </w:pPr>
    </w:p>
    <w:p>
      <w:pPr>
        <w:adjustRightInd w:val="0"/>
        <w:snapToGrid w:val="0"/>
        <w:ind w:firstLine="420" w:firstLineChars="200"/>
        <w:jc w:val="left"/>
        <w:rPr>
          <w:rFonts w:ascii="微软雅黑" w:hAnsi="微软雅黑" w:eastAsia="微软雅黑"/>
          <w:bCs/>
          <w:szCs w:val="21"/>
        </w:rPr>
      </w:pPr>
    </w:p>
    <w:p>
      <w:pPr>
        <w:adjustRightInd w:val="0"/>
        <w:snapToGrid w:val="0"/>
        <w:ind w:firstLine="420" w:firstLineChars="200"/>
        <w:jc w:val="left"/>
        <w:rPr>
          <w:rFonts w:ascii="微软雅黑" w:hAnsi="微软雅黑" w:eastAsia="微软雅黑"/>
          <w:bCs/>
          <w:szCs w:val="21"/>
        </w:rPr>
      </w:pPr>
    </w:p>
    <w:p>
      <w:pPr>
        <w:adjustRightInd w:val="0"/>
        <w:snapToGrid w:val="0"/>
        <w:ind w:firstLine="420" w:firstLineChars="200"/>
        <w:jc w:val="left"/>
        <w:rPr>
          <w:rFonts w:ascii="微软雅黑" w:hAnsi="微软雅黑" w:eastAsia="微软雅黑"/>
          <w:bCs/>
          <w:szCs w:val="21"/>
        </w:rPr>
      </w:pPr>
    </w:p>
    <w:p>
      <w:pPr>
        <w:adjustRightInd w:val="0"/>
        <w:snapToGrid w:val="0"/>
        <w:jc w:val="center"/>
        <w:rPr>
          <w:rFonts w:ascii="微软雅黑" w:hAnsi="微软雅黑" w:eastAsia="微软雅黑"/>
          <w:b/>
          <w:bCs/>
          <w:szCs w:val="21"/>
        </w:rPr>
      </w:pPr>
      <w:r>
        <w:rPr>
          <w:rFonts w:ascii="微软雅黑" w:hAnsi="微软雅黑" w:eastAsia="微软雅黑"/>
          <w:b/>
          <w:bCs/>
          <w:szCs w:val="21"/>
        </w:rPr>
        <w:t>表</w:t>
      </w:r>
      <w:r>
        <w:rPr>
          <w:rFonts w:hint="eastAsia" w:ascii="微软雅黑" w:hAnsi="微软雅黑" w:eastAsia="微软雅黑"/>
          <w:b/>
          <w:bCs/>
          <w:szCs w:val="21"/>
        </w:rPr>
        <w:t>1</w:t>
      </w:r>
      <w:r>
        <w:rPr>
          <w:rFonts w:ascii="微软雅黑" w:hAnsi="微软雅黑" w:eastAsia="微软雅黑"/>
          <w:b/>
          <w:bCs/>
          <w:szCs w:val="21"/>
        </w:rPr>
        <w:t xml:space="preserve">  </w:t>
      </w:r>
      <w:r>
        <w:rPr>
          <w:rFonts w:ascii="微软雅黑" w:hAnsi="微软雅黑" w:eastAsia="微软雅黑"/>
          <w:b/>
          <w:snapToGrid w:val="0"/>
          <w:szCs w:val="21"/>
        </w:rPr>
        <w:t>地表水</w:t>
      </w:r>
      <w:r>
        <w:rPr>
          <w:rFonts w:ascii="微软雅黑" w:hAnsi="微软雅黑" w:eastAsia="微软雅黑"/>
          <w:b/>
          <w:bCs/>
          <w:szCs w:val="21"/>
        </w:rPr>
        <w:t>水质监测结果统计表(单位：mg/L，pH无量纲)</w:t>
      </w:r>
    </w:p>
    <w:p>
      <w:pPr>
        <w:adjustRightInd w:val="0"/>
        <w:snapToGrid w:val="0"/>
        <w:jc w:val="center"/>
      </w:pPr>
      <w:r>
        <w:drawing>
          <wp:inline distT="0" distB="0" distL="114300" distR="114300">
            <wp:extent cx="5686425" cy="75247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686425" cy="7524750"/>
                    </a:xfrm>
                    <a:prstGeom prst="rect">
                      <a:avLst/>
                    </a:prstGeom>
                    <a:noFill/>
                    <a:ln>
                      <a:noFill/>
                    </a:ln>
                  </pic:spPr>
                </pic:pic>
              </a:graphicData>
            </a:graphic>
          </wp:inline>
        </w:drawing>
      </w: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r>
        <w:drawing>
          <wp:inline distT="0" distB="0" distL="114300" distR="114300">
            <wp:extent cx="5657850" cy="7543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657850" cy="7543800"/>
                    </a:xfrm>
                    <a:prstGeom prst="rect">
                      <a:avLst/>
                    </a:prstGeom>
                    <a:noFill/>
                    <a:ln>
                      <a:noFill/>
                    </a:ln>
                  </pic:spPr>
                </pic:pic>
              </a:graphicData>
            </a:graphic>
          </wp:inline>
        </w:drawing>
      </w: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r>
        <w:drawing>
          <wp:inline distT="0" distB="0" distL="114300" distR="114300">
            <wp:extent cx="5695950" cy="76295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695950" cy="7629525"/>
                    </a:xfrm>
                    <a:prstGeom prst="rect">
                      <a:avLst/>
                    </a:prstGeom>
                    <a:noFill/>
                    <a:ln>
                      <a:noFill/>
                    </a:ln>
                  </pic:spPr>
                </pic:pic>
              </a:graphicData>
            </a:graphic>
          </wp:inline>
        </w:drawing>
      </w: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r>
        <w:drawing>
          <wp:inline distT="0" distB="0" distL="114300" distR="114300">
            <wp:extent cx="5676900" cy="76581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676900" cy="7658100"/>
                    </a:xfrm>
                    <a:prstGeom prst="rect">
                      <a:avLst/>
                    </a:prstGeom>
                    <a:noFill/>
                    <a:ln>
                      <a:noFill/>
                    </a:ln>
                  </pic:spPr>
                </pic:pic>
              </a:graphicData>
            </a:graphic>
          </wp:inline>
        </w:drawing>
      </w: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p>
    <w:p>
      <w:pPr>
        <w:adjustRightInd w:val="0"/>
        <w:snapToGrid w:val="0"/>
        <w:jc w:val="center"/>
      </w:pPr>
    </w:p>
    <w:p>
      <w:pPr>
        <w:pStyle w:val="2"/>
        <w:adjustRightInd w:val="0"/>
        <w:snapToGrid w:val="0"/>
        <w:spacing w:after="0" w:line="240" w:lineRule="auto"/>
        <w:rPr>
          <w:rFonts w:hint="eastAsia" w:ascii="微软雅黑" w:hAnsi="微软雅黑" w:eastAsia="微软雅黑"/>
          <w:szCs w:val="21"/>
          <w:highlight w:val="none"/>
          <w:lang w:eastAsia="zh-CN"/>
        </w:rPr>
      </w:pPr>
      <w:r>
        <w:rPr>
          <w:rFonts w:ascii="微软雅黑" w:hAnsi="微软雅黑" w:eastAsia="微软雅黑"/>
          <w:bCs/>
          <w:snapToGrid w:val="0"/>
          <w:szCs w:val="21"/>
          <w:highlight w:val="none"/>
        </w:rPr>
        <w:t>由上表可知，监测期间</w:t>
      </w:r>
      <w:r>
        <w:rPr>
          <w:rFonts w:hint="eastAsia" w:ascii="微软雅黑" w:hAnsi="微软雅黑" w:eastAsia="微软雅黑"/>
          <w:szCs w:val="21"/>
          <w:highlight w:val="none"/>
          <w:lang w:val="en-US" w:eastAsia="zh-CN"/>
        </w:rPr>
        <w:t>公司</w:t>
      </w:r>
      <w:r>
        <w:rPr>
          <w:rFonts w:ascii="微软雅黑" w:hAnsi="微软雅黑" w:eastAsia="微软雅黑"/>
          <w:szCs w:val="21"/>
          <w:highlight w:val="none"/>
        </w:rPr>
        <w:t>监测断面各水质监测指标均可以达到《地表水环境质量标准》(GB3838-2002)Ⅴ类水要求</w:t>
      </w:r>
      <w:r>
        <w:rPr>
          <w:rFonts w:hint="eastAsia" w:ascii="微软雅黑" w:hAnsi="微软雅黑" w:eastAsia="微软雅黑"/>
          <w:szCs w:val="21"/>
          <w:highlight w:val="none"/>
          <w:lang w:eastAsia="zh-CN"/>
        </w:rPr>
        <w:t>。</w:t>
      </w:r>
    </w:p>
    <w:p>
      <w:pPr>
        <w:pStyle w:val="2"/>
        <w:adjustRightInd w:val="0"/>
        <w:snapToGrid w:val="0"/>
        <w:spacing w:after="0" w:line="240" w:lineRule="auto"/>
        <w:rPr>
          <w:rFonts w:hint="eastAsia" w:ascii="微软雅黑" w:hAnsi="微软雅黑" w:eastAsia="微软雅黑"/>
          <w:szCs w:val="21"/>
          <w:highlight w:val="none"/>
          <w:lang w:eastAsia="zh-CN"/>
        </w:rPr>
      </w:pPr>
    </w:p>
    <w:p>
      <w:pPr>
        <w:widowControl/>
        <w:snapToGrid w:val="0"/>
        <w:jc w:val="left"/>
        <w:rPr>
          <w:rFonts w:hint="eastAsia" w:ascii="微软雅黑" w:hAnsi="微软雅黑" w:eastAsia="微软雅黑" w:cs="宋体"/>
          <w:b/>
          <w:bCs/>
          <w:color w:val="000000"/>
          <w:kern w:val="0"/>
          <w:szCs w:val="21"/>
          <w:lang w:val="en-US" w:eastAsia="zh-CN"/>
        </w:rPr>
      </w:pPr>
      <w:r>
        <w:rPr>
          <w:rFonts w:hint="eastAsia" w:ascii="微软雅黑" w:hAnsi="微软雅黑" w:eastAsia="微软雅黑" w:cs="宋体"/>
          <w:b/>
          <w:bCs/>
          <w:color w:val="000000"/>
          <w:kern w:val="0"/>
          <w:szCs w:val="21"/>
          <w:lang w:val="en-US" w:eastAsia="zh-CN"/>
        </w:rPr>
        <w:t>3、年度用水量</w:t>
      </w:r>
    </w:p>
    <w:p>
      <w:pPr>
        <w:spacing w:before="1" w:line="177" w:lineRule="auto"/>
        <w:ind w:left="482"/>
        <w:rPr>
          <w:rFonts w:ascii="微软雅黑" w:hAnsi="微软雅黑" w:eastAsia="微软雅黑" w:cs="微软雅黑"/>
          <w:spacing w:val="-1"/>
          <w:sz w:val="24"/>
          <w:szCs w:val="24"/>
          <w:highlight w:val="none"/>
        </w:rPr>
      </w:pPr>
      <w:r>
        <w:rPr>
          <w:rFonts w:hint="eastAsia" w:ascii="微软雅黑" w:hAnsi="微软雅黑" w:eastAsia="微软雅黑" w:cstheme="minorBidi"/>
          <w:kern w:val="2"/>
          <w:sz w:val="21"/>
          <w:szCs w:val="21"/>
          <w:highlight w:val="none"/>
          <w:lang w:val="en-US" w:eastAsia="zh-CN" w:bidi="ar-SA"/>
        </w:rPr>
        <w:t>公司最近一年的用水情况如下(单位：吨)：</w:t>
      </w:r>
    </w:p>
    <w:tbl>
      <w:tblPr>
        <w:tblStyle w:val="8"/>
        <w:tblW w:w="6099" w:type="dxa"/>
        <w:tblInd w:w="99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19"/>
        <w:gridCol w:w="2267"/>
        <w:gridCol w:w="24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1419" w:type="dxa"/>
            <w:vAlign w:val="center"/>
          </w:tcPr>
          <w:p>
            <w:pPr>
              <w:pStyle w:val="2"/>
              <w:adjustRightInd w:val="0"/>
              <w:snapToGrid w:val="0"/>
              <w:spacing w:after="0" w:line="240" w:lineRule="auto"/>
              <w:jc w:val="center"/>
              <w:rPr>
                <w:rFonts w:ascii="微软雅黑" w:hAnsi="微软雅黑" w:eastAsia="微软雅黑"/>
                <w:szCs w:val="21"/>
                <w:highlight w:val="none"/>
              </w:rPr>
            </w:pPr>
            <w:r>
              <w:rPr>
                <w:rFonts w:ascii="微软雅黑" w:hAnsi="微软雅黑" w:eastAsia="微软雅黑"/>
                <w:szCs w:val="21"/>
                <w:highlight w:val="none"/>
              </w:rPr>
              <w:t>年份</w:t>
            </w:r>
          </w:p>
        </w:tc>
        <w:tc>
          <w:tcPr>
            <w:tcW w:w="2267" w:type="dxa"/>
            <w:vAlign w:val="center"/>
          </w:tcPr>
          <w:p>
            <w:pPr>
              <w:pStyle w:val="2"/>
              <w:adjustRightInd w:val="0"/>
              <w:snapToGrid w:val="0"/>
              <w:spacing w:after="0" w:line="240" w:lineRule="auto"/>
              <w:jc w:val="center"/>
              <w:rPr>
                <w:rFonts w:ascii="微软雅黑" w:hAnsi="微软雅黑" w:eastAsia="微软雅黑"/>
                <w:szCs w:val="21"/>
                <w:highlight w:val="none"/>
              </w:rPr>
            </w:pPr>
            <w:r>
              <w:rPr>
                <w:rFonts w:ascii="微软雅黑" w:hAnsi="微软雅黑" w:eastAsia="微软雅黑"/>
                <w:szCs w:val="21"/>
                <w:highlight w:val="none"/>
              </w:rPr>
              <w:t>年度总用水量</w:t>
            </w:r>
          </w:p>
        </w:tc>
        <w:tc>
          <w:tcPr>
            <w:tcW w:w="2413" w:type="dxa"/>
            <w:vAlign w:val="center"/>
          </w:tcPr>
          <w:p>
            <w:pPr>
              <w:pStyle w:val="2"/>
              <w:adjustRightInd w:val="0"/>
              <w:snapToGrid w:val="0"/>
              <w:spacing w:after="0" w:line="240" w:lineRule="auto"/>
              <w:jc w:val="center"/>
              <w:rPr>
                <w:rFonts w:ascii="微软雅黑" w:hAnsi="微软雅黑" w:eastAsia="微软雅黑"/>
                <w:szCs w:val="21"/>
                <w:highlight w:val="none"/>
              </w:rPr>
            </w:pPr>
            <w:r>
              <w:rPr>
                <w:rFonts w:ascii="微软雅黑" w:hAnsi="微软雅黑" w:eastAsia="微软雅黑"/>
                <w:szCs w:val="21"/>
                <w:highlight w:val="none"/>
              </w:rPr>
              <w:t>日均用水量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1419" w:type="dxa"/>
            <w:vAlign w:val="center"/>
          </w:tcPr>
          <w:p>
            <w:pPr>
              <w:pStyle w:val="2"/>
              <w:keepNext w:val="0"/>
              <w:keepLines w:val="0"/>
              <w:pageBreakBefore w:val="0"/>
              <w:widowControl w:val="0"/>
              <w:kinsoku/>
              <w:wordWrap/>
              <w:overflowPunct/>
              <w:topLinePunct w:val="0"/>
              <w:autoSpaceDE/>
              <w:autoSpaceDN/>
              <w:bidi w:val="0"/>
              <w:adjustRightInd w:val="0"/>
              <w:snapToGrid w:val="0"/>
              <w:spacing w:after="0" w:line="0" w:lineRule="atLeast"/>
              <w:jc w:val="center"/>
              <w:textAlignment w:val="auto"/>
              <w:rPr>
                <w:rFonts w:hint="eastAsia" w:ascii="微软雅黑" w:hAnsi="微软雅黑" w:eastAsia="微软雅黑"/>
                <w:color w:val="000000" w:themeColor="text1"/>
                <w:szCs w:val="21"/>
                <w:highlight w:val="none"/>
                <w:lang w:val="en-US" w:eastAsia="zh-CN"/>
                <w14:textFill>
                  <w14:solidFill>
                    <w14:schemeClr w14:val="tx1"/>
                  </w14:solidFill>
                </w14:textFill>
              </w:rPr>
            </w:pPr>
            <w:r>
              <w:rPr>
                <w:rFonts w:ascii="微软雅黑" w:hAnsi="微软雅黑" w:eastAsia="微软雅黑"/>
                <w:color w:val="000000" w:themeColor="text1"/>
                <w:szCs w:val="21"/>
                <w:highlight w:val="none"/>
                <w14:textFill>
                  <w14:solidFill>
                    <w14:schemeClr w14:val="tx1"/>
                  </w14:solidFill>
                </w14:textFill>
              </w:rPr>
              <w:t>202</w:t>
            </w:r>
            <w:r>
              <w:rPr>
                <w:rFonts w:hint="eastAsia" w:ascii="微软雅黑" w:hAnsi="微软雅黑" w:eastAsia="微软雅黑"/>
                <w:color w:val="000000" w:themeColor="text1"/>
                <w:szCs w:val="21"/>
                <w:highlight w:val="none"/>
                <w:lang w:val="en-US" w:eastAsia="zh-CN"/>
                <w14:textFill>
                  <w14:solidFill>
                    <w14:schemeClr w14:val="tx1"/>
                  </w14:solidFill>
                </w14:textFill>
              </w:rPr>
              <w:t>4</w:t>
            </w:r>
          </w:p>
        </w:tc>
        <w:tc>
          <w:tcPr>
            <w:tcW w:w="2267" w:type="dxa"/>
            <w:vAlign w:val="center"/>
          </w:tcPr>
          <w:p>
            <w:pPr>
              <w:pStyle w:val="7"/>
              <w:keepNext w:val="0"/>
              <w:keepLines w:val="0"/>
              <w:pageBreakBefore w:val="0"/>
              <w:widowControl w:val="0"/>
              <w:kinsoku/>
              <w:wordWrap/>
              <w:overflowPunct/>
              <w:topLinePunct w:val="0"/>
              <w:autoSpaceDE/>
              <w:autoSpaceDN/>
              <w:bidi w:val="0"/>
              <w:spacing w:before="119" w:line="0" w:lineRule="atLeast"/>
              <w:ind w:left="802" w:leftChars="0"/>
              <w:jc w:val="both"/>
              <w:textAlignment w:val="auto"/>
              <w:rPr>
                <w:rFonts w:hint="default" w:ascii="微软雅黑" w:hAnsi="微软雅黑" w:eastAsia="微软雅黑" w:cstheme="minorBidi"/>
                <w:color w:val="000000" w:themeColor="text1"/>
                <w:kern w:val="2"/>
                <w:sz w:val="21"/>
                <w:szCs w:val="21"/>
                <w:highlight w:val="none"/>
                <w:lang w:val="en-US" w:eastAsia="zh-CN" w:bidi="ar-SA"/>
                <w14:textFill>
                  <w14:solidFill>
                    <w14:schemeClr w14:val="tx1"/>
                  </w14:solidFill>
                </w14:textFill>
              </w:rPr>
            </w:pPr>
            <w:r>
              <w:rPr>
                <w:rFonts w:hint="eastAsia" w:cstheme="minorBidi"/>
                <w:color w:val="000000" w:themeColor="text1"/>
                <w:kern w:val="2"/>
                <w:sz w:val="21"/>
                <w:szCs w:val="21"/>
                <w:highlight w:val="none"/>
                <w:lang w:val="en-US" w:eastAsia="zh-CN" w:bidi="ar-SA"/>
                <w14:textFill>
                  <w14:solidFill>
                    <w14:schemeClr w14:val="tx1"/>
                  </w14:solidFill>
                </w14:textFill>
              </w:rPr>
              <w:t>26705.75</w:t>
            </w:r>
          </w:p>
        </w:tc>
        <w:tc>
          <w:tcPr>
            <w:tcW w:w="2413" w:type="dxa"/>
            <w:vAlign w:val="center"/>
          </w:tcPr>
          <w:p>
            <w:pPr>
              <w:pStyle w:val="7"/>
              <w:keepNext w:val="0"/>
              <w:keepLines w:val="0"/>
              <w:pageBreakBefore w:val="0"/>
              <w:widowControl w:val="0"/>
              <w:kinsoku/>
              <w:wordWrap/>
              <w:overflowPunct/>
              <w:topLinePunct w:val="0"/>
              <w:autoSpaceDE/>
              <w:autoSpaceDN/>
              <w:bidi w:val="0"/>
              <w:spacing w:before="119" w:line="0" w:lineRule="atLeast"/>
              <w:ind w:left="849" w:leftChars="0"/>
              <w:jc w:val="both"/>
              <w:textAlignment w:val="auto"/>
              <w:rPr>
                <w:rFonts w:hint="default" w:ascii="微软雅黑" w:hAnsi="微软雅黑" w:eastAsia="微软雅黑" w:cstheme="minorBidi"/>
                <w:color w:val="000000" w:themeColor="text1"/>
                <w:kern w:val="2"/>
                <w:sz w:val="21"/>
                <w:szCs w:val="21"/>
                <w:highlight w:val="none"/>
                <w:lang w:val="en-US" w:eastAsia="zh-CN" w:bidi="ar-SA"/>
                <w14:textFill>
                  <w14:solidFill>
                    <w14:schemeClr w14:val="tx1"/>
                  </w14:solidFill>
                </w14:textFill>
              </w:rPr>
            </w:pPr>
            <w:r>
              <w:rPr>
                <w:rFonts w:hint="eastAsia" w:cstheme="minorBidi"/>
                <w:color w:val="000000" w:themeColor="text1"/>
                <w:kern w:val="2"/>
                <w:sz w:val="21"/>
                <w:szCs w:val="21"/>
                <w:highlight w:val="none"/>
                <w:lang w:val="en-US" w:eastAsia="zh-CN" w:bidi="ar-SA"/>
                <w14:textFill>
                  <w14:solidFill>
                    <w14:schemeClr w14:val="tx1"/>
                  </w14:solidFill>
                </w14:textFill>
              </w:rPr>
              <w:t>72.97</w:t>
            </w:r>
          </w:p>
        </w:tc>
      </w:tr>
    </w:tbl>
    <w:p>
      <w:pPr>
        <w:pStyle w:val="2"/>
        <w:numPr>
          <w:ilvl w:val="0"/>
          <w:numId w:val="0"/>
        </w:numPr>
        <w:adjustRightInd w:val="0"/>
        <w:snapToGrid w:val="0"/>
        <w:spacing w:after="0" w:line="240" w:lineRule="auto"/>
        <w:rPr>
          <w:rFonts w:hint="default" w:ascii="微软雅黑" w:hAnsi="微软雅黑" w:eastAsia="微软雅黑"/>
          <w:szCs w:val="21"/>
          <w:highlight w:val="none"/>
          <w:lang w:val="en-US" w:eastAsia="zh-CN"/>
        </w:rPr>
      </w:pPr>
    </w:p>
    <w:p>
      <w:pPr>
        <w:pStyle w:val="2"/>
        <w:adjustRightInd w:val="0"/>
        <w:snapToGrid w:val="0"/>
        <w:spacing w:after="0" w:line="240" w:lineRule="auto"/>
        <w:rPr>
          <w:rFonts w:ascii="微软雅黑" w:hAnsi="微软雅黑" w:eastAsia="微软雅黑"/>
          <w:bCs/>
          <w:snapToGrid w:val="0"/>
          <w:szCs w:val="21"/>
        </w:rPr>
      </w:pPr>
    </w:p>
    <w:p>
      <w:pPr>
        <w:widowControl/>
        <w:snapToGrid w:val="0"/>
        <w:jc w:val="left"/>
        <w:rPr>
          <w:rFonts w:ascii="微软雅黑" w:hAnsi="微软雅黑" w:eastAsia="微软雅黑"/>
          <w:b/>
          <w:bCs/>
          <w:szCs w:val="21"/>
        </w:rPr>
      </w:pPr>
      <w:r>
        <w:rPr>
          <w:rFonts w:hint="eastAsia" w:ascii="微软雅黑" w:hAnsi="微软雅黑" w:eastAsia="微软雅黑" w:cs="宋体"/>
          <w:b/>
          <w:bCs/>
          <w:color w:val="000000"/>
          <w:kern w:val="0"/>
          <w:szCs w:val="21"/>
          <w:lang w:val="en-US" w:eastAsia="zh-CN"/>
        </w:rPr>
        <w:t>4</w:t>
      </w:r>
      <w:r>
        <w:rPr>
          <w:rFonts w:hint="eastAsia" w:ascii="微软雅黑" w:hAnsi="微软雅黑" w:eastAsia="微软雅黑" w:cs="宋体"/>
          <w:b/>
          <w:bCs/>
          <w:color w:val="000000"/>
          <w:kern w:val="0"/>
          <w:szCs w:val="21"/>
        </w:rPr>
        <w:t xml:space="preserve">、水资源风险评估 </w:t>
      </w:r>
    </w:p>
    <w:tbl>
      <w:tblPr>
        <w:tblStyle w:val="4"/>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701"/>
        <w:gridCol w:w="708"/>
        <w:gridCol w:w="709"/>
        <w:gridCol w:w="709"/>
        <w:gridCol w:w="4252"/>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426" w:type="dxa"/>
            <w:vMerge w:val="restart"/>
            <w:vAlign w:val="center"/>
          </w:tcPr>
          <w:p>
            <w:pPr>
              <w:widowControl/>
              <w:snapToGrid w:val="0"/>
              <w:jc w:val="center"/>
              <w:rPr>
                <w:rFonts w:ascii="微软雅黑" w:hAnsi="微软雅黑" w:eastAsia="微软雅黑"/>
                <w:szCs w:val="21"/>
              </w:rPr>
            </w:pPr>
            <w:r>
              <w:rPr>
                <w:rFonts w:hint="eastAsia" w:ascii="微软雅黑" w:hAnsi="微软雅黑" w:eastAsia="微软雅黑"/>
                <w:szCs w:val="21"/>
              </w:rPr>
              <w:t>序号</w:t>
            </w:r>
          </w:p>
        </w:tc>
        <w:tc>
          <w:tcPr>
            <w:tcW w:w="1701" w:type="dxa"/>
            <w:vMerge w:val="restart"/>
            <w:vAlign w:val="center"/>
          </w:tcPr>
          <w:p>
            <w:pPr>
              <w:widowControl/>
              <w:snapToGrid w:val="0"/>
              <w:ind w:firstLine="210" w:firstLineChars="100"/>
              <w:jc w:val="center"/>
              <w:rPr>
                <w:rFonts w:ascii="微软雅黑" w:hAnsi="微软雅黑" w:eastAsia="微软雅黑"/>
                <w:szCs w:val="21"/>
              </w:rPr>
            </w:pPr>
            <w:r>
              <w:rPr>
                <w:rFonts w:hint="eastAsia" w:ascii="微软雅黑" w:hAnsi="微软雅黑" w:eastAsia="微软雅黑"/>
                <w:szCs w:val="21"/>
              </w:rPr>
              <w:t>风险源</w:t>
            </w:r>
          </w:p>
        </w:tc>
        <w:tc>
          <w:tcPr>
            <w:tcW w:w="2126" w:type="dxa"/>
            <w:gridSpan w:val="3"/>
            <w:vAlign w:val="center"/>
          </w:tcPr>
          <w:p>
            <w:pPr>
              <w:widowControl/>
              <w:snapToGrid w:val="0"/>
              <w:jc w:val="center"/>
              <w:rPr>
                <w:rFonts w:ascii="微软雅黑" w:hAnsi="微软雅黑" w:eastAsia="微软雅黑"/>
                <w:szCs w:val="21"/>
              </w:rPr>
            </w:pPr>
            <w:r>
              <w:rPr>
                <w:rFonts w:hint="eastAsia" w:ascii="微软雅黑" w:hAnsi="微软雅黑" w:eastAsia="微软雅黑"/>
                <w:szCs w:val="21"/>
              </w:rPr>
              <w:t>风险评估</w:t>
            </w:r>
          </w:p>
        </w:tc>
        <w:tc>
          <w:tcPr>
            <w:tcW w:w="4252" w:type="dxa"/>
            <w:vMerge w:val="restart"/>
            <w:vAlign w:val="center"/>
          </w:tcPr>
          <w:p>
            <w:pPr>
              <w:widowControl/>
              <w:snapToGrid w:val="0"/>
              <w:ind w:firstLine="210" w:firstLineChars="100"/>
              <w:jc w:val="center"/>
              <w:rPr>
                <w:rFonts w:ascii="微软雅黑" w:hAnsi="微软雅黑" w:eastAsia="微软雅黑"/>
                <w:szCs w:val="21"/>
              </w:rPr>
            </w:pPr>
            <w:r>
              <w:rPr>
                <w:rFonts w:hint="eastAsia" w:ascii="微软雅黑" w:hAnsi="微软雅黑" w:eastAsia="微软雅黑"/>
                <w:szCs w:val="21"/>
              </w:rPr>
              <w:t>情况描述</w:t>
            </w:r>
          </w:p>
        </w:tc>
        <w:tc>
          <w:tcPr>
            <w:tcW w:w="851" w:type="dxa"/>
            <w:vMerge w:val="restart"/>
            <w:vAlign w:val="center"/>
          </w:tcPr>
          <w:p>
            <w:pPr>
              <w:widowControl/>
              <w:snapToGrid w:val="0"/>
              <w:jc w:val="center"/>
              <w:rPr>
                <w:rFonts w:ascii="微软雅黑" w:hAnsi="微软雅黑" w:eastAsia="微软雅黑"/>
                <w:szCs w:val="21"/>
              </w:rPr>
            </w:pPr>
            <w:r>
              <w:rPr>
                <w:rFonts w:hint="eastAsia" w:ascii="微软雅黑" w:hAnsi="微软雅黑" w:eastAsia="微软雅黑"/>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426" w:type="dxa"/>
            <w:vMerge w:val="continue"/>
            <w:vAlign w:val="center"/>
          </w:tcPr>
          <w:p>
            <w:pPr>
              <w:widowControl/>
              <w:snapToGrid w:val="0"/>
              <w:jc w:val="center"/>
              <w:rPr>
                <w:rFonts w:ascii="微软雅黑" w:hAnsi="微软雅黑" w:eastAsia="微软雅黑"/>
                <w:szCs w:val="21"/>
              </w:rPr>
            </w:pPr>
          </w:p>
        </w:tc>
        <w:tc>
          <w:tcPr>
            <w:tcW w:w="1701" w:type="dxa"/>
            <w:vMerge w:val="continue"/>
            <w:vAlign w:val="center"/>
          </w:tcPr>
          <w:p>
            <w:pPr>
              <w:widowControl/>
              <w:snapToGrid w:val="0"/>
              <w:jc w:val="center"/>
              <w:rPr>
                <w:rFonts w:ascii="微软雅黑" w:hAnsi="微软雅黑" w:eastAsia="微软雅黑"/>
                <w:szCs w:val="21"/>
              </w:rPr>
            </w:pPr>
          </w:p>
        </w:tc>
        <w:tc>
          <w:tcPr>
            <w:tcW w:w="708" w:type="dxa"/>
            <w:vAlign w:val="center"/>
          </w:tcPr>
          <w:p>
            <w:pPr>
              <w:widowControl/>
              <w:snapToGrid w:val="0"/>
              <w:jc w:val="center"/>
              <w:rPr>
                <w:rFonts w:hint="eastAsia" w:ascii="微软雅黑" w:hAnsi="微软雅黑" w:eastAsia="微软雅黑"/>
                <w:szCs w:val="21"/>
              </w:rPr>
            </w:pPr>
            <w:r>
              <w:rPr>
                <w:rFonts w:hint="eastAsia" w:ascii="微软雅黑" w:hAnsi="微软雅黑" w:eastAsia="微软雅黑"/>
                <w:szCs w:val="21"/>
              </w:rPr>
              <w:t>发生</w:t>
            </w:r>
          </w:p>
          <w:p>
            <w:pPr>
              <w:widowControl/>
              <w:snapToGrid w:val="0"/>
              <w:jc w:val="center"/>
              <w:rPr>
                <w:rFonts w:ascii="微软雅黑" w:hAnsi="微软雅黑" w:eastAsia="微软雅黑"/>
                <w:szCs w:val="21"/>
              </w:rPr>
            </w:pPr>
            <w:r>
              <w:rPr>
                <w:rFonts w:hint="eastAsia" w:ascii="微软雅黑" w:hAnsi="微软雅黑" w:eastAsia="微软雅黑"/>
                <w:szCs w:val="21"/>
              </w:rPr>
              <w:t>概率</w:t>
            </w:r>
          </w:p>
        </w:tc>
        <w:tc>
          <w:tcPr>
            <w:tcW w:w="709" w:type="dxa"/>
            <w:vAlign w:val="center"/>
          </w:tcPr>
          <w:p>
            <w:pPr>
              <w:widowControl/>
              <w:snapToGrid w:val="0"/>
              <w:jc w:val="center"/>
              <w:rPr>
                <w:rFonts w:hint="eastAsia" w:ascii="微软雅黑" w:hAnsi="微软雅黑" w:eastAsia="微软雅黑"/>
                <w:szCs w:val="21"/>
              </w:rPr>
            </w:pPr>
            <w:r>
              <w:rPr>
                <w:rFonts w:hint="eastAsia" w:ascii="微软雅黑" w:hAnsi="微软雅黑" w:eastAsia="微软雅黑"/>
                <w:szCs w:val="21"/>
              </w:rPr>
              <w:t>危害</w:t>
            </w:r>
          </w:p>
          <w:p>
            <w:pPr>
              <w:widowControl/>
              <w:snapToGrid w:val="0"/>
              <w:jc w:val="center"/>
              <w:rPr>
                <w:rFonts w:ascii="微软雅黑" w:hAnsi="微软雅黑" w:eastAsia="微软雅黑"/>
                <w:szCs w:val="21"/>
              </w:rPr>
            </w:pPr>
            <w:r>
              <w:rPr>
                <w:rFonts w:hint="eastAsia" w:ascii="微软雅黑" w:hAnsi="微软雅黑" w:eastAsia="微软雅黑"/>
                <w:szCs w:val="21"/>
              </w:rPr>
              <w:t>程度</w:t>
            </w:r>
          </w:p>
        </w:tc>
        <w:tc>
          <w:tcPr>
            <w:tcW w:w="709" w:type="dxa"/>
            <w:vAlign w:val="center"/>
          </w:tcPr>
          <w:p>
            <w:pPr>
              <w:widowControl/>
              <w:snapToGrid w:val="0"/>
              <w:jc w:val="center"/>
              <w:rPr>
                <w:rFonts w:hint="eastAsia" w:ascii="微软雅黑" w:hAnsi="微软雅黑" w:eastAsia="微软雅黑"/>
                <w:szCs w:val="21"/>
              </w:rPr>
            </w:pPr>
            <w:r>
              <w:rPr>
                <w:rFonts w:hint="eastAsia" w:ascii="微软雅黑" w:hAnsi="微软雅黑" w:eastAsia="微软雅黑"/>
                <w:szCs w:val="21"/>
              </w:rPr>
              <w:t>风险</w:t>
            </w:r>
          </w:p>
          <w:p>
            <w:pPr>
              <w:widowControl/>
              <w:snapToGrid w:val="0"/>
              <w:jc w:val="center"/>
              <w:rPr>
                <w:rFonts w:ascii="微软雅黑" w:hAnsi="微软雅黑" w:eastAsia="微软雅黑"/>
                <w:szCs w:val="21"/>
              </w:rPr>
            </w:pPr>
            <w:r>
              <w:rPr>
                <w:rFonts w:hint="eastAsia" w:ascii="微软雅黑" w:hAnsi="微软雅黑" w:eastAsia="微软雅黑"/>
                <w:szCs w:val="21"/>
              </w:rPr>
              <w:t>等级</w:t>
            </w:r>
          </w:p>
        </w:tc>
        <w:tc>
          <w:tcPr>
            <w:tcW w:w="4252" w:type="dxa"/>
            <w:vMerge w:val="continue"/>
            <w:vAlign w:val="center"/>
          </w:tcPr>
          <w:p>
            <w:pPr>
              <w:widowControl/>
              <w:snapToGrid w:val="0"/>
              <w:jc w:val="center"/>
              <w:rPr>
                <w:rFonts w:ascii="微软雅黑" w:hAnsi="微软雅黑" w:eastAsia="微软雅黑"/>
                <w:szCs w:val="21"/>
              </w:rPr>
            </w:pPr>
          </w:p>
        </w:tc>
        <w:tc>
          <w:tcPr>
            <w:tcW w:w="851" w:type="dxa"/>
            <w:vMerge w:val="continue"/>
            <w:vAlign w:val="center"/>
          </w:tcPr>
          <w:p>
            <w:pPr>
              <w:widowControl/>
              <w:snapToGrid w:val="0"/>
              <w:jc w:val="center"/>
              <w:rPr>
                <w:rFonts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426" w:type="dxa"/>
            <w:vAlign w:val="center"/>
          </w:tcPr>
          <w:p>
            <w:pPr>
              <w:widowControl/>
              <w:snapToGrid w:val="0"/>
              <w:jc w:val="center"/>
              <w:rPr>
                <w:rFonts w:ascii="微软雅黑" w:hAnsi="微软雅黑" w:eastAsia="微软雅黑"/>
                <w:szCs w:val="21"/>
              </w:rPr>
            </w:pPr>
            <w:r>
              <w:rPr>
                <w:rFonts w:hint="eastAsia" w:ascii="微软雅黑" w:hAnsi="微软雅黑" w:eastAsia="微软雅黑"/>
                <w:szCs w:val="21"/>
              </w:rPr>
              <w:t>1</w:t>
            </w:r>
          </w:p>
        </w:tc>
        <w:tc>
          <w:tcPr>
            <w:tcW w:w="1701" w:type="dxa"/>
            <w:vAlign w:val="center"/>
          </w:tcPr>
          <w:p>
            <w:pPr>
              <w:widowControl/>
              <w:snapToGrid w:val="0"/>
              <w:rPr>
                <w:rFonts w:ascii="微软雅黑" w:hAnsi="微软雅黑" w:eastAsia="微软雅黑"/>
                <w:szCs w:val="21"/>
              </w:rPr>
            </w:pPr>
            <w:r>
              <w:rPr>
                <w:rFonts w:hint="eastAsia" w:ascii="微软雅黑" w:hAnsi="微软雅黑" w:eastAsia="微软雅黑"/>
                <w:szCs w:val="21"/>
              </w:rPr>
              <w:t>地下水违采</w:t>
            </w:r>
          </w:p>
        </w:tc>
        <w:tc>
          <w:tcPr>
            <w:tcW w:w="708" w:type="dxa"/>
            <w:vAlign w:val="center"/>
          </w:tcPr>
          <w:p>
            <w:pPr>
              <w:widowControl/>
              <w:snapToGrid w:val="0"/>
              <w:jc w:val="center"/>
              <w:rPr>
                <w:rFonts w:ascii="微软雅黑" w:hAnsi="微软雅黑" w:eastAsia="微软雅黑"/>
                <w:szCs w:val="21"/>
              </w:rPr>
            </w:pPr>
            <w:r>
              <w:rPr>
                <w:rFonts w:hint="eastAsia" w:ascii="微软雅黑" w:hAnsi="微软雅黑" w:eastAsia="微软雅黑"/>
                <w:szCs w:val="21"/>
              </w:rPr>
              <w:t>低</w:t>
            </w:r>
          </w:p>
        </w:tc>
        <w:tc>
          <w:tcPr>
            <w:tcW w:w="709" w:type="dxa"/>
            <w:vAlign w:val="center"/>
          </w:tcPr>
          <w:p>
            <w:pPr>
              <w:widowControl/>
              <w:snapToGrid w:val="0"/>
              <w:jc w:val="center"/>
              <w:rPr>
                <w:rFonts w:ascii="微软雅黑" w:hAnsi="微软雅黑" w:eastAsia="微软雅黑"/>
                <w:szCs w:val="21"/>
              </w:rPr>
            </w:pPr>
            <w:r>
              <w:rPr>
                <w:rFonts w:hint="eastAsia" w:ascii="微软雅黑" w:hAnsi="微软雅黑" w:eastAsia="微软雅黑"/>
                <w:szCs w:val="21"/>
              </w:rPr>
              <w:t>低</w:t>
            </w:r>
          </w:p>
        </w:tc>
        <w:tc>
          <w:tcPr>
            <w:tcW w:w="709" w:type="dxa"/>
            <w:vAlign w:val="center"/>
          </w:tcPr>
          <w:p>
            <w:pPr>
              <w:widowControl/>
              <w:snapToGrid w:val="0"/>
              <w:jc w:val="center"/>
              <w:rPr>
                <w:rFonts w:ascii="微软雅黑" w:hAnsi="微软雅黑" w:eastAsia="微软雅黑"/>
                <w:szCs w:val="21"/>
              </w:rPr>
            </w:pPr>
            <w:r>
              <w:rPr>
                <w:rFonts w:hint="eastAsia" w:ascii="微软雅黑" w:hAnsi="微软雅黑" w:eastAsia="微软雅黑"/>
                <w:szCs w:val="21"/>
              </w:rPr>
              <w:t>低</w:t>
            </w:r>
          </w:p>
        </w:tc>
        <w:tc>
          <w:tcPr>
            <w:tcW w:w="4252" w:type="dxa"/>
          </w:tcPr>
          <w:p>
            <w:pPr>
              <w:widowControl/>
              <w:snapToGrid w:val="0"/>
              <w:jc w:val="left"/>
              <w:rPr>
                <w:rFonts w:ascii="微软雅黑" w:hAnsi="微软雅黑" w:eastAsia="微软雅黑"/>
                <w:szCs w:val="21"/>
              </w:rPr>
            </w:pPr>
            <w:r>
              <w:rPr>
                <w:rFonts w:hint="eastAsia" w:ascii="微软雅黑" w:hAnsi="微软雅黑" w:eastAsia="微软雅黑"/>
                <w:szCs w:val="21"/>
              </w:rPr>
              <w:t>公司用水均使用自来水，无地下水井等设施</w:t>
            </w:r>
          </w:p>
        </w:tc>
        <w:tc>
          <w:tcPr>
            <w:tcW w:w="851" w:type="dxa"/>
          </w:tcPr>
          <w:p>
            <w:pPr>
              <w:widowControl/>
              <w:snapToGrid w:val="0"/>
              <w:jc w:val="left"/>
              <w:rPr>
                <w:rFonts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426" w:type="dxa"/>
            <w:vAlign w:val="center"/>
          </w:tcPr>
          <w:p>
            <w:pPr>
              <w:widowControl/>
              <w:snapToGrid w:val="0"/>
              <w:jc w:val="center"/>
              <w:rPr>
                <w:rFonts w:ascii="微软雅黑" w:hAnsi="微软雅黑" w:eastAsia="微软雅黑"/>
                <w:szCs w:val="21"/>
              </w:rPr>
            </w:pPr>
            <w:r>
              <w:rPr>
                <w:rFonts w:hint="eastAsia" w:ascii="微软雅黑" w:hAnsi="微软雅黑" w:eastAsia="微软雅黑"/>
                <w:szCs w:val="21"/>
              </w:rPr>
              <w:t>2</w:t>
            </w:r>
          </w:p>
        </w:tc>
        <w:tc>
          <w:tcPr>
            <w:tcW w:w="1701" w:type="dxa"/>
            <w:vAlign w:val="center"/>
          </w:tcPr>
          <w:p>
            <w:pPr>
              <w:widowControl/>
              <w:snapToGrid w:val="0"/>
              <w:rPr>
                <w:rFonts w:ascii="微软雅黑" w:hAnsi="微软雅黑" w:eastAsia="微软雅黑"/>
                <w:szCs w:val="21"/>
              </w:rPr>
            </w:pPr>
            <w:r>
              <w:rPr>
                <w:rFonts w:hint="eastAsia" w:ascii="微软雅黑" w:hAnsi="微软雅黑" w:eastAsia="微软雅黑"/>
                <w:szCs w:val="21"/>
              </w:rPr>
              <w:t>生产废水</w:t>
            </w:r>
          </w:p>
        </w:tc>
        <w:tc>
          <w:tcPr>
            <w:tcW w:w="708" w:type="dxa"/>
            <w:vAlign w:val="center"/>
          </w:tcPr>
          <w:p>
            <w:pPr>
              <w:widowControl/>
              <w:snapToGrid w:val="0"/>
              <w:jc w:val="center"/>
              <w:rPr>
                <w:rFonts w:ascii="微软雅黑" w:hAnsi="微软雅黑" w:eastAsia="微软雅黑"/>
                <w:szCs w:val="21"/>
              </w:rPr>
            </w:pPr>
            <w:r>
              <w:rPr>
                <w:rFonts w:hint="eastAsia" w:ascii="微软雅黑" w:hAnsi="微软雅黑" w:eastAsia="微软雅黑"/>
                <w:szCs w:val="21"/>
              </w:rPr>
              <w:t>低</w:t>
            </w:r>
          </w:p>
        </w:tc>
        <w:tc>
          <w:tcPr>
            <w:tcW w:w="709" w:type="dxa"/>
            <w:vAlign w:val="center"/>
          </w:tcPr>
          <w:p>
            <w:pPr>
              <w:widowControl/>
              <w:snapToGrid w:val="0"/>
              <w:jc w:val="center"/>
              <w:rPr>
                <w:rFonts w:ascii="微软雅黑" w:hAnsi="微软雅黑" w:eastAsia="微软雅黑"/>
                <w:szCs w:val="21"/>
              </w:rPr>
            </w:pPr>
            <w:r>
              <w:rPr>
                <w:rFonts w:hint="eastAsia" w:ascii="微软雅黑" w:hAnsi="微软雅黑" w:eastAsia="微软雅黑"/>
                <w:szCs w:val="21"/>
              </w:rPr>
              <w:t>低</w:t>
            </w:r>
          </w:p>
        </w:tc>
        <w:tc>
          <w:tcPr>
            <w:tcW w:w="709" w:type="dxa"/>
            <w:vAlign w:val="center"/>
          </w:tcPr>
          <w:p>
            <w:pPr>
              <w:widowControl/>
              <w:snapToGrid w:val="0"/>
              <w:jc w:val="center"/>
              <w:rPr>
                <w:rFonts w:ascii="微软雅黑" w:hAnsi="微软雅黑" w:eastAsia="微软雅黑"/>
                <w:szCs w:val="21"/>
              </w:rPr>
            </w:pPr>
            <w:r>
              <w:rPr>
                <w:rFonts w:hint="eastAsia" w:ascii="微软雅黑" w:hAnsi="微软雅黑" w:eastAsia="微软雅黑"/>
                <w:szCs w:val="21"/>
              </w:rPr>
              <w:t>低</w:t>
            </w:r>
          </w:p>
        </w:tc>
        <w:tc>
          <w:tcPr>
            <w:tcW w:w="4252" w:type="dxa"/>
          </w:tcPr>
          <w:p>
            <w:pPr>
              <w:widowControl/>
              <w:snapToGrid w:val="0"/>
              <w:jc w:val="left"/>
              <w:rPr>
                <w:rFonts w:ascii="微软雅黑" w:hAnsi="微软雅黑" w:eastAsia="微软雅黑"/>
                <w:szCs w:val="21"/>
              </w:rPr>
            </w:pPr>
            <w:r>
              <w:rPr>
                <w:rFonts w:hint="eastAsia" w:ascii="微软雅黑" w:hAnsi="微软雅黑" w:eastAsia="微软雅黑"/>
                <w:szCs w:val="21"/>
              </w:rPr>
              <w:t>公司生产工艺不产生“生产废水”</w:t>
            </w:r>
          </w:p>
        </w:tc>
        <w:tc>
          <w:tcPr>
            <w:tcW w:w="851" w:type="dxa"/>
          </w:tcPr>
          <w:p>
            <w:pPr>
              <w:widowControl/>
              <w:snapToGrid w:val="0"/>
              <w:jc w:val="left"/>
              <w:rPr>
                <w:rFonts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426" w:type="dxa"/>
            <w:vAlign w:val="center"/>
          </w:tcPr>
          <w:p>
            <w:pPr>
              <w:widowControl/>
              <w:snapToGrid w:val="0"/>
              <w:jc w:val="center"/>
              <w:rPr>
                <w:rFonts w:ascii="微软雅黑" w:hAnsi="微软雅黑" w:eastAsia="微软雅黑"/>
                <w:szCs w:val="21"/>
              </w:rPr>
            </w:pPr>
            <w:r>
              <w:rPr>
                <w:rFonts w:hint="eastAsia" w:ascii="微软雅黑" w:hAnsi="微软雅黑" w:eastAsia="微软雅黑"/>
                <w:szCs w:val="21"/>
              </w:rPr>
              <w:t>3</w:t>
            </w:r>
          </w:p>
        </w:tc>
        <w:tc>
          <w:tcPr>
            <w:tcW w:w="1701" w:type="dxa"/>
            <w:vAlign w:val="center"/>
          </w:tcPr>
          <w:p>
            <w:pPr>
              <w:widowControl/>
              <w:snapToGrid w:val="0"/>
              <w:rPr>
                <w:rFonts w:ascii="微软雅黑" w:hAnsi="微软雅黑" w:eastAsia="微软雅黑"/>
                <w:szCs w:val="21"/>
              </w:rPr>
            </w:pPr>
            <w:r>
              <w:rPr>
                <w:rFonts w:hint="eastAsia" w:ascii="微软雅黑" w:hAnsi="微软雅黑" w:eastAsia="微软雅黑"/>
                <w:szCs w:val="21"/>
              </w:rPr>
              <w:t>生活污水</w:t>
            </w:r>
          </w:p>
        </w:tc>
        <w:tc>
          <w:tcPr>
            <w:tcW w:w="708" w:type="dxa"/>
            <w:vAlign w:val="center"/>
          </w:tcPr>
          <w:p>
            <w:pPr>
              <w:widowControl/>
              <w:snapToGrid w:val="0"/>
              <w:jc w:val="center"/>
              <w:rPr>
                <w:rFonts w:ascii="微软雅黑" w:hAnsi="微软雅黑" w:eastAsia="微软雅黑"/>
                <w:szCs w:val="21"/>
              </w:rPr>
            </w:pPr>
            <w:r>
              <w:rPr>
                <w:rFonts w:hint="eastAsia" w:ascii="微软雅黑" w:hAnsi="微软雅黑" w:eastAsia="微软雅黑"/>
                <w:szCs w:val="21"/>
              </w:rPr>
              <w:t>高</w:t>
            </w:r>
          </w:p>
        </w:tc>
        <w:tc>
          <w:tcPr>
            <w:tcW w:w="709" w:type="dxa"/>
            <w:vAlign w:val="center"/>
          </w:tcPr>
          <w:p>
            <w:pPr>
              <w:widowControl/>
              <w:snapToGrid w:val="0"/>
              <w:jc w:val="center"/>
              <w:rPr>
                <w:rFonts w:ascii="微软雅黑" w:hAnsi="微软雅黑" w:eastAsia="微软雅黑"/>
                <w:szCs w:val="21"/>
              </w:rPr>
            </w:pPr>
            <w:r>
              <w:rPr>
                <w:rFonts w:hint="eastAsia" w:ascii="微软雅黑" w:hAnsi="微软雅黑" w:eastAsia="微软雅黑"/>
                <w:szCs w:val="21"/>
              </w:rPr>
              <w:t>低</w:t>
            </w:r>
          </w:p>
        </w:tc>
        <w:tc>
          <w:tcPr>
            <w:tcW w:w="709" w:type="dxa"/>
            <w:vAlign w:val="center"/>
          </w:tcPr>
          <w:p>
            <w:pPr>
              <w:widowControl/>
              <w:snapToGrid w:val="0"/>
              <w:jc w:val="center"/>
              <w:rPr>
                <w:rFonts w:ascii="微软雅黑" w:hAnsi="微软雅黑" w:eastAsia="微软雅黑"/>
                <w:szCs w:val="21"/>
              </w:rPr>
            </w:pPr>
            <w:r>
              <w:rPr>
                <w:rFonts w:hint="eastAsia" w:ascii="微软雅黑" w:hAnsi="微软雅黑" w:eastAsia="微软雅黑"/>
                <w:szCs w:val="21"/>
              </w:rPr>
              <w:t>低</w:t>
            </w:r>
          </w:p>
        </w:tc>
        <w:tc>
          <w:tcPr>
            <w:tcW w:w="4252" w:type="dxa"/>
          </w:tcPr>
          <w:p>
            <w:pPr>
              <w:widowControl/>
              <w:snapToGrid w:val="0"/>
              <w:jc w:val="left"/>
              <w:rPr>
                <w:rFonts w:ascii="微软雅黑" w:hAnsi="微软雅黑" w:eastAsia="微软雅黑"/>
                <w:szCs w:val="21"/>
              </w:rPr>
            </w:pPr>
            <w:r>
              <w:rPr>
                <w:rFonts w:hint="eastAsia" w:ascii="微软雅黑" w:hAnsi="微软雅黑" w:eastAsia="微软雅黑"/>
                <w:szCs w:val="21"/>
              </w:rPr>
              <w:t>员工宿舍生活污水，产生量约20t/d，企业废水经污水管网排入濉溪开发区污水处理厂后处理，达标排放，每年委托有资质单位对本公司的废水进行检测，结果都是达标排放</w:t>
            </w:r>
          </w:p>
        </w:tc>
        <w:tc>
          <w:tcPr>
            <w:tcW w:w="851" w:type="dxa"/>
          </w:tcPr>
          <w:p>
            <w:pPr>
              <w:widowControl/>
              <w:snapToGrid w:val="0"/>
              <w:jc w:val="left"/>
              <w:rPr>
                <w:rFonts w:ascii="微软雅黑" w:hAnsi="微软雅黑" w:eastAsia="微软雅黑"/>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widowControl/>
              <w:snapToGrid w:val="0"/>
              <w:jc w:val="center"/>
              <w:rPr>
                <w:rFonts w:ascii="微软雅黑" w:hAnsi="微软雅黑" w:eastAsia="微软雅黑"/>
                <w:szCs w:val="21"/>
              </w:rPr>
            </w:pPr>
            <w:r>
              <w:rPr>
                <w:rFonts w:hint="eastAsia" w:ascii="微软雅黑" w:hAnsi="微软雅黑" w:eastAsia="微软雅黑"/>
                <w:szCs w:val="21"/>
              </w:rPr>
              <w:t>4</w:t>
            </w:r>
          </w:p>
        </w:tc>
        <w:tc>
          <w:tcPr>
            <w:tcW w:w="1701" w:type="dxa"/>
            <w:vAlign w:val="center"/>
          </w:tcPr>
          <w:p>
            <w:pPr>
              <w:widowControl/>
              <w:snapToGrid w:val="0"/>
              <w:rPr>
                <w:rFonts w:ascii="微软雅黑" w:hAnsi="微软雅黑" w:eastAsia="微软雅黑"/>
                <w:szCs w:val="21"/>
              </w:rPr>
            </w:pPr>
            <w:r>
              <w:rPr>
                <w:rFonts w:hint="eastAsia" w:ascii="微软雅黑" w:hAnsi="微软雅黑" w:eastAsia="微软雅黑"/>
                <w:szCs w:val="21"/>
              </w:rPr>
              <w:t>化学品废液</w:t>
            </w:r>
          </w:p>
        </w:tc>
        <w:tc>
          <w:tcPr>
            <w:tcW w:w="708" w:type="dxa"/>
            <w:vAlign w:val="center"/>
          </w:tcPr>
          <w:p>
            <w:pPr>
              <w:widowControl/>
              <w:snapToGrid w:val="0"/>
              <w:jc w:val="center"/>
              <w:rPr>
                <w:rFonts w:ascii="微软雅黑" w:hAnsi="微软雅黑" w:eastAsia="微软雅黑"/>
                <w:szCs w:val="21"/>
              </w:rPr>
            </w:pPr>
            <w:r>
              <w:rPr>
                <w:rFonts w:hint="eastAsia" w:ascii="微软雅黑" w:hAnsi="微软雅黑" w:eastAsia="微软雅黑"/>
                <w:szCs w:val="21"/>
              </w:rPr>
              <w:t>低</w:t>
            </w:r>
          </w:p>
        </w:tc>
        <w:tc>
          <w:tcPr>
            <w:tcW w:w="709" w:type="dxa"/>
            <w:vAlign w:val="center"/>
          </w:tcPr>
          <w:p>
            <w:pPr>
              <w:widowControl/>
              <w:snapToGrid w:val="0"/>
              <w:jc w:val="center"/>
              <w:rPr>
                <w:rFonts w:ascii="微软雅黑" w:hAnsi="微软雅黑" w:eastAsia="微软雅黑"/>
                <w:b/>
                <w:bCs/>
                <w:szCs w:val="21"/>
              </w:rPr>
            </w:pPr>
            <w:r>
              <w:rPr>
                <w:rFonts w:hint="eastAsia" w:ascii="微软雅黑" w:hAnsi="微软雅黑" w:eastAsia="微软雅黑"/>
                <w:szCs w:val="21"/>
              </w:rPr>
              <w:t>低</w:t>
            </w:r>
          </w:p>
        </w:tc>
        <w:tc>
          <w:tcPr>
            <w:tcW w:w="709" w:type="dxa"/>
            <w:vAlign w:val="center"/>
          </w:tcPr>
          <w:p>
            <w:pPr>
              <w:widowControl/>
              <w:snapToGrid w:val="0"/>
              <w:jc w:val="center"/>
              <w:rPr>
                <w:rFonts w:ascii="微软雅黑" w:hAnsi="微软雅黑" w:eastAsia="微软雅黑"/>
                <w:b/>
                <w:bCs/>
                <w:szCs w:val="21"/>
              </w:rPr>
            </w:pPr>
            <w:r>
              <w:rPr>
                <w:rFonts w:hint="eastAsia" w:ascii="微软雅黑" w:hAnsi="微软雅黑" w:eastAsia="微软雅黑"/>
                <w:szCs w:val="21"/>
              </w:rPr>
              <w:t>低</w:t>
            </w:r>
          </w:p>
        </w:tc>
        <w:tc>
          <w:tcPr>
            <w:tcW w:w="4252" w:type="dxa"/>
          </w:tcPr>
          <w:p>
            <w:pPr>
              <w:widowControl/>
              <w:snapToGrid w:val="0"/>
              <w:jc w:val="left"/>
              <w:rPr>
                <w:rFonts w:ascii="微软雅黑" w:hAnsi="微软雅黑" w:eastAsia="微软雅黑"/>
                <w:szCs w:val="21"/>
              </w:rPr>
            </w:pPr>
            <w:r>
              <w:rPr>
                <w:rFonts w:hint="eastAsia" w:ascii="微软雅黑" w:hAnsi="微软雅黑" w:eastAsia="微软雅黑"/>
                <w:szCs w:val="21"/>
              </w:rPr>
              <w:t>公司所有的生产性废液，都进行收集，交给有资质的危废处理机构进行处理</w:t>
            </w:r>
          </w:p>
        </w:tc>
        <w:tc>
          <w:tcPr>
            <w:tcW w:w="851" w:type="dxa"/>
          </w:tcPr>
          <w:p>
            <w:pPr>
              <w:widowControl/>
              <w:snapToGrid w:val="0"/>
              <w:jc w:val="left"/>
              <w:rPr>
                <w:rFonts w:ascii="微软雅黑" w:hAnsi="微软雅黑" w:eastAsia="微软雅黑"/>
                <w:szCs w:val="21"/>
              </w:rPr>
            </w:pPr>
          </w:p>
        </w:tc>
      </w:tr>
    </w:tbl>
    <w:p>
      <w:pPr>
        <w:widowControl/>
        <w:snapToGrid w:val="0"/>
        <w:jc w:val="left"/>
        <w:rPr>
          <w:rFonts w:hint="eastAsia" w:ascii="微软雅黑" w:hAnsi="微软雅黑" w:eastAsia="微软雅黑"/>
          <w:color w:val="auto"/>
          <w:szCs w:val="21"/>
          <w:highlight w:val="none"/>
          <w:lang w:eastAsia="zh-CN"/>
        </w:rPr>
      </w:pPr>
    </w:p>
    <w:p>
      <w:pPr>
        <w:widowControl/>
        <w:snapToGrid w:val="0"/>
        <w:jc w:val="left"/>
        <w:rPr>
          <w:rFonts w:hint="eastAsia" w:ascii="微软雅黑" w:hAnsi="微软雅黑" w:eastAsia="微软雅黑"/>
          <w:color w:val="auto"/>
          <w:sz w:val="22"/>
          <w:szCs w:val="22"/>
          <w:highlight w:val="none"/>
          <w:lang w:eastAsia="zh-CN"/>
        </w:rPr>
      </w:pPr>
      <w:r>
        <w:rPr>
          <w:rFonts w:hint="eastAsia" w:ascii="微软雅黑" w:hAnsi="微软雅黑" w:eastAsia="微软雅黑"/>
          <w:color w:val="auto"/>
          <w:sz w:val="22"/>
          <w:szCs w:val="22"/>
          <w:highlight w:val="none"/>
          <w:lang w:eastAsia="zh-CN"/>
        </w:rPr>
        <w:t>综上所述：本公司的水资源风险为“低”</w:t>
      </w:r>
    </w:p>
    <w:p>
      <w:pPr>
        <w:widowControl/>
        <w:snapToGrid w:val="0"/>
        <w:jc w:val="left"/>
        <w:rPr>
          <w:rFonts w:hint="eastAsia" w:ascii="微软雅黑" w:hAnsi="微软雅黑" w:eastAsia="微软雅黑"/>
          <w:color w:val="auto"/>
          <w:szCs w:val="21"/>
          <w:highlight w:val="none"/>
          <w:lang w:eastAsia="zh-CN"/>
        </w:rPr>
      </w:pPr>
    </w:p>
    <w:p>
      <w:pPr>
        <w:widowControl/>
        <w:snapToGrid w:val="0"/>
        <w:jc w:val="left"/>
        <w:rPr>
          <w:rFonts w:hint="eastAsia" w:ascii="微软雅黑" w:hAnsi="微软雅黑" w:eastAsia="微软雅黑"/>
          <w:color w:val="auto"/>
          <w:szCs w:val="21"/>
          <w:highlight w:val="none"/>
          <w:lang w:eastAsia="zh-CN"/>
        </w:rPr>
      </w:pPr>
    </w:p>
    <w:p>
      <w:pPr>
        <w:widowControl/>
        <w:snapToGrid w:val="0"/>
        <w:jc w:val="right"/>
        <w:rPr>
          <w:rFonts w:hint="eastAsia" w:ascii="微软雅黑" w:hAnsi="微软雅黑" w:eastAsia="微软雅黑"/>
          <w:color w:val="auto"/>
          <w:szCs w:val="21"/>
          <w:highlight w:val="none"/>
          <w:lang w:eastAsia="zh-CN"/>
        </w:rPr>
      </w:pPr>
    </w:p>
    <w:p>
      <w:pPr>
        <w:tabs>
          <w:tab w:val="left" w:pos="1378"/>
        </w:tabs>
        <w:bidi w:val="0"/>
        <w:jc w:val="center"/>
        <w:rPr>
          <w:rFonts w:hint="default"/>
          <w:sz w:val="28"/>
          <w:szCs w:val="32"/>
          <w:highlight w:val="none"/>
          <w:lang w:val="en-US" w:eastAsia="zh-CN"/>
        </w:rPr>
      </w:pPr>
      <w:r>
        <w:drawing>
          <wp:anchor distT="0" distB="0" distL="114300" distR="114300" simplePos="0" relativeHeight="251659264" behindDoc="1" locked="0" layoutInCell="1" allowOverlap="1">
            <wp:simplePos x="0" y="0"/>
            <wp:positionH relativeFrom="column">
              <wp:posOffset>4421505</wp:posOffset>
            </wp:positionH>
            <wp:positionV relativeFrom="paragraph">
              <wp:posOffset>1270</wp:posOffset>
            </wp:positionV>
            <wp:extent cx="685800" cy="466725"/>
            <wp:effectExtent l="0" t="0" r="0" b="9525"/>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lum contrast="36000"/>
                    </a:blip>
                    <a:stretch>
                      <a:fillRect/>
                    </a:stretch>
                  </pic:blipFill>
                  <pic:spPr>
                    <a:xfrm>
                      <a:off x="0" y="0"/>
                      <a:ext cx="685800" cy="466725"/>
                    </a:xfrm>
                    <a:prstGeom prst="rect">
                      <a:avLst/>
                    </a:prstGeom>
                    <a:noFill/>
                    <a:ln>
                      <a:noFill/>
                    </a:ln>
                  </pic:spPr>
                </pic:pic>
              </a:graphicData>
            </a:graphic>
          </wp:anchor>
        </w:drawing>
      </w:r>
      <w:r>
        <w:rPr>
          <w:rFonts w:hint="eastAsia"/>
          <w:sz w:val="28"/>
          <w:szCs w:val="32"/>
          <w:highlight w:val="none"/>
          <w:lang w:val="en-US" w:eastAsia="zh-CN"/>
        </w:rPr>
        <w:t xml:space="preserve">          </w:t>
      </w:r>
      <w:bookmarkStart w:id="0" w:name="_GoBack"/>
      <w:bookmarkEnd w:id="0"/>
      <w:r>
        <w:rPr>
          <w:rFonts w:hint="eastAsia"/>
          <w:sz w:val="28"/>
          <w:szCs w:val="32"/>
          <w:highlight w:val="none"/>
          <w:lang w:val="en-US" w:eastAsia="zh-CN"/>
        </w:rPr>
        <w:t xml:space="preserve">               评估人：</w:t>
      </w:r>
    </w:p>
    <w:p>
      <w:pPr>
        <w:tabs>
          <w:tab w:val="left" w:pos="1378"/>
        </w:tabs>
        <w:bidi w:val="0"/>
        <w:jc w:val="right"/>
        <w:rPr>
          <w:rFonts w:hint="eastAsia"/>
          <w:sz w:val="28"/>
          <w:szCs w:val="32"/>
          <w:highlight w:val="none"/>
          <w:lang w:val="en-US" w:eastAsia="zh-CN"/>
        </w:rPr>
      </w:pPr>
      <w:r>
        <w:rPr>
          <w:rFonts w:hint="eastAsia" w:ascii="微软雅黑" w:hAnsi="微软雅黑" w:eastAsia="微软雅黑"/>
          <w:color w:val="auto"/>
          <w:szCs w:val="21"/>
          <w:highlight w:val="none"/>
          <w:lang w:val="en-US" w:eastAsia="zh-CN"/>
        </w:rPr>
        <w:t xml:space="preserve">      </w:t>
      </w:r>
    </w:p>
    <w:p>
      <w:pPr>
        <w:tabs>
          <w:tab w:val="left" w:pos="1378"/>
        </w:tabs>
        <w:bidi w:val="0"/>
        <w:jc w:val="right"/>
        <w:rPr>
          <w:rFonts w:hint="default" w:eastAsia="宋体"/>
          <w:sz w:val="28"/>
          <w:szCs w:val="32"/>
          <w:lang w:val="en-US" w:eastAsia="zh-CN"/>
        </w:rPr>
      </w:pPr>
      <w:r>
        <w:rPr>
          <w:rFonts w:hint="eastAsia"/>
          <w:sz w:val="28"/>
          <w:szCs w:val="32"/>
          <w:lang w:val="en-US" w:eastAsia="zh-CN"/>
        </w:rPr>
        <w:t>评估</w:t>
      </w:r>
      <w:r>
        <w:rPr>
          <w:rFonts w:hint="eastAsia"/>
          <w:sz w:val="28"/>
          <w:szCs w:val="32"/>
          <w:highlight w:val="none"/>
          <w:lang w:val="en-US" w:eastAsia="zh-CN"/>
        </w:rPr>
        <w:t>日期：2025年</w:t>
      </w:r>
      <w:r>
        <w:rPr>
          <w:rFonts w:hint="eastAsia"/>
          <w:sz w:val="28"/>
          <w:szCs w:val="32"/>
          <w:lang w:val="en-US" w:eastAsia="zh-CN"/>
        </w:rPr>
        <w:t>02月01日</w:t>
      </w:r>
    </w:p>
    <w:p>
      <w:pPr>
        <w:widowControl/>
        <w:snapToGrid w:val="0"/>
        <w:jc w:val="right"/>
        <w:rPr>
          <w:rFonts w:hint="default" w:ascii="微软雅黑" w:hAnsi="微软雅黑" w:eastAsia="微软雅黑"/>
          <w:color w:val="auto"/>
          <w:szCs w:val="21"/>
          <w:highlight w:val="none"/>
          <w:lang w:val="en-US" w:eastAsia="zh-CN"/>
        </w:rPr>
      </w:pPr>
    </w:p>
    <w:sectPr>
      <w:pgSz w:w="11906" w:h="16838"/>
      <w:pgMar w:top="1134" w:right="1134" w:bottom="1134"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I1MGMyMzA1MWY4NDNiMzhhZWFmNmM4MWVjMGFjZTYifQ=="/>
  </w:docVars>
  <w:rsids>
    <w:rsidRoot w:val="4110686B"/>
    <w:rsid w:val="001216CB"/>
    <w:rsid w:val="003B36B9"/>
    <w:rsid w:val="00450903"/>
    <w:rsid w:val="006C37CB"/>
    <w:rsid w:val="007F57D5"/>
    <w:rsid w:val="00A04ABB"/>
    <w:rsid w:val="00FD66BB"/>
    <w:rsid w:val="09942F61"/>
    <w:rsid w:val="0B766775"/>
    <w:rsid w:val="10310C73"/>
    <w:rsid w:val="109B3094"/>
    <w:rsid w:val="13453533"/>
    <w:rsid w:val="1B315683"/>
    <w:rsid w:val="1F8D4ECD"/>
    <w:rsid w:val="240351C1"/>
    <w:rsid w:val="251252E2"/>
    <w:rsid w:val="28755652"/>
    <w:rsid w:val="299C323D"/>
    <w:rsid w:val="2DF46C27"/>
    <w:rsid w:val="2F865ED7"/>
    <w:rsid w:val="32015CB6"/>
    <w:rsid w:val="3A695B1F"/>
    <w:rsid w:val="3ACE0DA4"/>
    <w:rsid w:val="4110686B"/>
    <w:rsid w:val="439A483A"/>
    <w:rsid w:val="49482910"/>
    <w:rsid w:val="4DAF5FD4"/>
    <w:rsid w:val="4F773031"/>
    <w:rsid w:val="555C0E9A"/>
    <w:rsid w:val="5F4F4374"/>
    <w:rsid w:val="656821DD"/>
    <w:rsid w:val="679022BD"/>
    <w:rsid w:val="6E3732A0"/>
    <w:rsid w:val="71307151"/>
    <w:rsid w:val="76DE14F7"/>
    <w:rsid w:val="7A3A1D17"/>
    <w:rsid w:val="7D54040B"/>
    <w:rsid w:val="7F6F32D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Body Text 2"/>
    <w:basedOn w:val="1"/>
    <w:unhideWhenUsed/>
    <w:qFormat/>
    <w:uiPriority w:val="0"/>
    <w:pPr>
      <w:spacing w:after="120" w:line="480" w:lineRule="auto"/>
    </w:p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6">
    <w:name w:val="4正文"/>
    <w:basedOn w:val="1"/>
    <w:qFormat/>
    <w:uiPriority w:val="0"/>
    <w:pPr>
      <w:adjustRightInd w:val="0"/>
      <w:snapToGrid w:val="0"/>
      <w:ind w:firstLine="200" w:firstLineChars="200"/>
    </w:pPr>
    <w:rPr>
      <w:kern w:val="0"/>
    </w:rPr>
  </w:style>
  <w:style w:type="paragraph" w:customStyle="1" w:styleId="7">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Home</Company>
  <Pages>8</Pages>
  <Words>2485</Words>
  <Characters>2821</Characters>
  <Lines>30</Lines>
  <Paragraphs>8</Paragraphs>
  <TotalTime>7</TotalTime>
  <ScaleCrop>false</ScaleCrop>
  <LinksUpToDate>false</LinksUpToDate>
  <CharactersWithSpaces>2868</CharactersWithSpaces>
  <Application>WPS Office_11.8.2.12011_F1E327BC-269C-435d-A152-05C5408002CA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2020-08-26T08:28:00Z</dcterms:created>
  <dc:creator>Administrator</dc:creator>
  <cp:lastModifiedBy>周鹏云</cp:lastModifiedBy>
  <cp:lastPrinted>2023-10-17T05:57:00Z</cp:lastPrinted>
  <dcterms:modified xsi:type="dcterms:W3CDTF">2025-08-29T07:01:26Z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2052-11.8.2.12011</vt:lpwstr>
  </property>
  <property fmtid="{D5CDD505-2E9C-101B-9397-08002B2CF9AE}" pid="3" name="ICV">
    <vt:lpwstr>996D375CBBF3479FAF74BBFC92D24FCD</vt:lpwstr>
  </property>
</Properties>
</file>