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2E21">
      <w:pPr>
        <w:pStyle w:val="2"/>
        <w:shd w:val="clear" w:color="auto" w:fill="FFFFFF"/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 w:val="44"/>
          <w:szCs w:val="44"/>
          <w:u w:val="none"/>
          <w:lang w:val="en-US" w:eastAsia="zh-CN"/>
        </w:rPr>
        <w:t>安徽美信铝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auto"/>
          <w:sz w:val="44"/>
          <w:szCs w:val="44"/>
          <w:u w:val="none"/>
          <w:lang w:val="en-US" w:eastAsia="zh-CN"/>
        </w:rPr>
        <w:t>业有限公司</w:t>
      </w:r>
    </w:p>
    <w:p w14:paraId="4039B9BC">
      <w:pPr>
        <w:pStyle w:val="2"/>
        <w:shd w:val="clear" w:color="auto" w:fill="FFFFFF"/>
        <w:snapToGrid w:val="0"/>
        <w:spacing w:before="0" w:after="0" w:line="240" w:lineRule="auto"/>
        <w:jc w:val="center"/>
        <w:rPr>
          <w:rFonts w:hint="eastAsia" w:ascii="微软雅黑" w:hAnsi="微软雅黑" w:eastAsia="微软雅黑"/>
          <w:b/>
          <w:bCs/>
          <w:color w:val="auto"/>
          <w:szCs w:val="21"/>
          <w:u w:val="none"/>
        </w:rPr>
      </w:pPr>
      <w:r>
        <w:rPr>
          <w:rFonts w:hint="eastAsia" w:ascii="微软雅黑" w:hAnsi="微软雅黑" w:eastAsia="微软雅黑"/>
          <w:b/>
          <w:bCs/>
          <w:color w:val="auto"/>
          <w:sz w:val="32"/>
          <w:szCs w:val="32"/>
          <w:u w:val="none"/>
        </w:rPr>
        <w:t>环境和社会影响评价汇总</w:t>
      </w:r>
    </w:p>
    <w:tbl>
      <w:tblPr>
        <w:tblStyle w:val="9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049"/>
      </w:tblGrid>
      <w:tr w14:paraId="320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547" w:type="dxa"/>
          </w:tcPr>
          <w:p w14:paraId="25F4BAA6">
            <w:pPr>
              <w:pStyle w:val="7"/>
              <w:snapToGrid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Arial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1"/>
                <w:szCs w:val="21"/>
              </w:rPr>
              <w:t>评价类型</w:t>
            </w:r>
          </w:p>
        </w:tc>
        <w:tc>
          <w:tcPr>
            <w:tcW w:w="12049" w:type="dxa"/>
          </w:tcPr>
          <w:p w14:paraId="4CB0B49A">
            <w:pPr>
              <w:snapToGrid w:val="0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bCs/>
                <w:szCs w:val="21"/>
              </w:rPr>
              <w:t>评价结论</w:t>
            </w:r>
          </w:p>
        </w:tc>
      </w:tr>
      <w:tr w14:paraId="2429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</w:tcPr>
          <w:p w14:paraId="032F243D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环境影响评价</w:t>
            </w:r>
          </w:p>
          <w:p w14:paraId="56EF3C69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 w14:paraId="4ED0C315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default" w:ascii="微软雅黑" w:hAnsi="微软雅黑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2011年9月</w:t>
            </w:r>
          </w:p>
          <w:p w14:paraId="4657830D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749F6A5E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1、大气环境影响评价结论及建议 </w:t>
            </w:r>
          </w:p>
          <w:p w14:paraId="4E99695C">
            <w:pPr>
              <w:snapToGrid w:val="0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)经预测，项目新增污染源的污染物</w:t>
            </w:r>
            <w:r>
              <w:rPr>
                <w:rFonts w:ascii="微软雅黑" w:hAnsi="微软雅黑" w:eastAsia="微软雅黑"/>
                <w:szCs w:val="21"/>
              </w:rPr>
              <w:t>SO</w:t>
            </w:r>
            <w:r>
              <w:rPr>
                <w:rFonts w:ascii="微软雅黑" w:hAnsi="微软雅黑" w:eastAsia="微软雅黑"/>
                <w:szCs w:val="21"/>
                <w:vertAlign w:val="subscript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ascii="微软雅黑" w:hAnsi="微软雅黑" w:eastAsia="微软雅黑"/>
                <w:szCs w:val="21"/>
              </w:rPr>
              <w:t>NOx</w:t>
            </w:r>
            <w:r>
              <w:rPr>
                <w:rFonts w:hint="eastAsia" w:ascii="微软雅黑" w:hAnsi="微软雅黑" w:eastAsia="微软雅黑"/>
                <w:szCs w:val="21"/>
              </w:rPr>
              <w:t>、颗粒物、非甲烷总烃下风向预测浓度较小，对大气环境影响较小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0B803ED4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)该项目不需设置大气环境防护距离，以车间</w:t>
            </w: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(本项目所在区域)为边界设置</w:t>
            </w:r>
            <w:r>
              <w:rPr>
                <w:rFonts w:ascii="微软雅黑" w:hAnsi="微软雅黑" w:eastAsia="微软雅黑"/>
                <w:szCs w:val="21"/>
              </w:rPr>
              <w:t>100m</w:t>
            </w:r>
            <w:r>
              <w:rPr>
                <w:rFonts w:hint="eastAsia" w:ascii="微软雅黑" w:hAnsi="微软雅黑" w:eastAsia="微软雅黑"/>
                <w:szCs w:val="21"/>
              </w:rPr>
              <w:t>卫生防护距离，以车间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为边界设置</w:t>
            </w:r>
            <w:r>
              <w:rPr>
                <w:rFonts w:ascii="微软雅黑" w:hAnsi="微软雅黑" w:eastAsia="微软雅黑"/>
                <w:szCs w:val="21"/>
              </w:rPr>
              <w:t>50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米卫生防护距离。项目卫生防护距离内无居民区、学校、医院等环境敏感目标。 </w:t>
            </w:r>
          </w:p>
          <w:p w14:paraId="3468664C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综上所述，项目选址及总图布置合理可行，采取的污染控制措施可以保证污染物达标排放，卫生防护距离设置满足环保要求，项目废气对外界环境影响很小，所采取的废气治理措施是可行的，大气环境影响可接受。</w:t>
            </w:r>
          </w:p>
        </w:tc>
      </w:tr>
      <w:tr w14:paraId="060E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 w14:paraId="5DA81ED0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012460DF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2、地表水环境影响评价</w:t>
            </w:r>
          </w:p>
          <w:p w14:paraId="77A52BA9">
            <w:p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本项目产生的废水包括生产废水、生活污水。</w:t>
            </w:r>
          </w:p>
          <w:p w14:paraId="7F4B59FD">
            <w:pPr>
              <w:numPr>
                <w:ilvl w:val="0"/>
                <w:numId w:val="1"/>
              </w:num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生产废水：主要为超型铸轧机组和冷轧机组冷却水，经冷却后循环使用。</w:t>
            </w:r>
          </w:p>
          <w:p w14:paraId="57F1A59E">
            <w:pPr>
              <w:numPr>
                <w:ilvl w:val="0"/>
                <w:numId w:val="1"/>
              </w:numPr>
              <w:snapToGrid w:val="0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生活污水：</w:t>
            </w:r>
            <w:r>
              <w:rPr>
                <w:rFonts w:hint="eastAsia" w:ascii="微软雅黑" w:hAnsi="微软雅黑" w:eastAsia="微软雅黑"/>
                <w:szCs w:val="21"/>
              </w:rPr>
              <w:t>员工宿舍生活污水，产生量约20t/d，企业废水经污水管网排入濉溪开发区污水处理厂后处理，达标排放，每年委托有资质单位对本公司的废水进行检测，结果都是达标排放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 w14:paraId="0D62100F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综上所述，本项目对</w:t>
            </w:r>
            <w:r>
              <w:rPr>
                <w:rFonts w:hint="eastAsia" w:ascii="微软雅黑" w:hAnsi="微软雅黑" w:eastAsia="微软雅黑"/>
                <w:szCs w:val="21"/>
              </w:rPr>
              <w:t>地表水环境影响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较低。</w:t>
            </w:r>
          </w:p>
        </w:tc>
      </w:tr>
      <w:tr w14:paraId="2822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 w14:paraId="7D7025C0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32FE7B31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3、固体废物环境影响评价</w:t>
            </w:r>
          </w:p>
          <w:p w14:paraId="1F5C10E4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1)</w:t>
            </w:r>
            <w:r>
              <w:rPr>
                <w:rFonts w:hint="eastAsia" w:ascii="微软雅黑" w:hAnsi="微软雅黑" w:eastAsia="微软雅黑"/>
                <w:szCs w:val="21"/>
              </w:rPr>
              <w:t>固体废物的收集、堆放、贮存对环境的影响</w:t>
            </w:r>
          </w:p>
          <w:p w14:paraId="139E5B95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本项目产生的固体废物主要为熔渣、铝灰、废轧制油、废过滤介质、加工过</w:t>
            </w: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程产生的边角废料及生活垃圾。</w:t>
            </w:r>
            <w:r>
              <w:rPr>
                <w:rFonts w:hint="eastAsia" w:ascii="微软雅黑" w:hAnsi="微软雅黑" w:eastAsia="微软雅黑"/>
                <w:szCs w:val="21"/>
              </w:rPr>
              <w:t>鉴别为危险废物，则需委托有资质单位进行处理，鉴别为一般固废，则按一般固废进行处理处置。项目固废废物分类收集、贮存，危险废物与一般工业固体废物、生活垃圾分开收集、存放。根据废物的种类和形态，本项目在厂区内设置了危废仓库、一般固废仓库。各储存场所均做了符合《危险废物贮存污染控制标准》(</w:t>
            </w:r>
            <w:r>
              <w:rPr>
                <w:rFonts w:ascii="微软雅黑" w:hAnsi="微软雅黑" w:eastAsia="微软雅黑"/>
                <w:szCs w:val="21"/>
              </w:rPr>
              <w:t>GB 18597-2001</w:t>
            </w:r>
            <w:r>
              <w:rPr>
                <w:rFonts w:hint="eastAsia" w:ascii="微软雅黑" w:hAnsi="微软雅黑" w:eastAsia="微软雅黑"/>
                <w:szCs w:val="21"/>
              </w:rPr>
              <w:t>)中要求的防腐防渗措施，企业的危废堆场需按照在线监控设备。建筑材料与危险废物相容，不相互发生反应。危险废物暂存场做到</w:t>
            </w:r>
            <w:r>
              <w:rPr>
                <w:rFonts w:ascii="微软雅黑" w:hAnsi="微软雅黑" w:eastAsia="微软雅黑"/>
                <w:szCs w:val="21"/>
              </w:rPr>
              <w:t>“</w:t>
            </w:r>
            <w:r>
              <w:rPr>
                <w:rFonts w:hint="eastAsia" w:ascii="微软雅黑" w:hAnsi="微软雅黑" w:eastAsia="微软雅黑"/>
                <w:szCs w:val="21"/>
              </w:rPr>
              <w:t>防风、防雨、防晒，防渗漏</w:t>
            </w:r>
            <w:r>
              <w:rPr>
                <w:rFonts w:ascii="微软雅黑" w:hAnsi="微软雅黑" w:eastAsia="微软雅黑"/>
                <w:szCs w:val="21"/>
              </w:rPr>
              <w:t>”</w:t>
            </w:r>
            <w:r>
              <w:rPr>
                <w:rFonts w:hint="eastAsia" w:ascii="微软雅黑" w:hAnsi="微软雅黑" w:eastAsia="微软雅黑"/>
                <w:szCs w:val="21"/>
              </w:rPr>
              <w:t>。正常工况下，不会对环境空气、地表水、地下水、土壤及周边环境保护目标造成影响。因此，项目固体废物的收集、贮存对环境的影响较小。</w:t>
            </w:r>
          </w:p>
          <w:p w14:paraId="40E5278C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2)</w:t>
            </w:r>
            <w:r>
              <w:rPr>
                <w:rFonts w:hint="eastAsia" w:ascii="微软雅黑" w:hAnsi="微软雅黑" w:eastAsia="微软雅黑"/>
                <w:szCs w:val="21"/>
              </w:rPr>
              <w:t>包装、运输过程对环境的影响</w:t>
            </w:r>
          </w:p>
          <w:p w14:paraId="29782B02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项目各危险固废均按照相应的包装要求进行包装，企业危险固废外运委托有资质的单位进行运输，严格执行《危险废物收集贮存运输技术规范》(</w:t>
            </w:r>
            <w:r>
              <w:rPr>
                <w:rFonts w:ascii="微软雅黑" w:hAnsi="微软雅黑" w:eastAsia="微软雅黑"/>
                <w:szCs w:val="21"/>
              </w:rPr>
              <w:t>HJ 2025-2012</w:t>
            </w:r>
            <w:r>
              <w:rPr>
                <w:rFonts w:hint="eastAsia" w:ascii="微软雅黑" w:hAnsi="微软雅黑" w:eastAsia="微软雅黑"/>
                <w:szCs w:val="21"/>
              </w:rPr>
              <w:t>)和《危险废物转移联单管理办法》，并制定好危险废物转移运输途中的污染防范及事故应急措施，严格按照要求办理有关手续。</w:t>
            </w:r>
          </w:p>
          <w:p w14:paraId="0CAE2740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ascii="微软雅黑" w:hAnsi="微软雅黑" w:eastAsia="微软雅黑"/>
                <w:szCs w:val="21"/>
              </w:rPr>
              <w:t>3)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固废处理处置环境影响分析 </w:t>
            </w:r>
          </w:p>
          <w:p w14:paraId="778C1187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项目生产过程中产生的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铝灰渣、除尘灰、</w:t>
            </w:r>
            <w:r>
              <w:rPr>
                <w:rFonts w:hint="eastAsia" w:ascii="微软雅黑" w:hAnsi="微软雅黑" w:eastAsia="微软雅黑"/>
                <w:szCs w:val="21"/>
              </w:rPr>
              <w:t>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矿物</w:t>
            </w:r>
            <w:r>
              <w:rPr>
                <w:rFonts w:hint="eastAsia" w:ascii="微软雅黑" w:hAnsi="微软雅黑" w:eastAsia="微软雅黑"/>
                <w:szCs w:val="21"/>
              </w:rPr>
              <w:t>油、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含油硅藻土</w:t>
            </w:r>
            <w:r>
              <w:rPr>
                <w:rFonts w:hint="eastAsia"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过滤布</w:t>
            </w:r>
            <w:r>
              <w:rPr>
                <w:rFonts w:hint="eastAsia" w:ascii="微软雅黑" w:hAnsi="微软雅黑" w:eastAsia="微软雅黑"/>
                <w:szCs w:val="21"/>
              </w:rPr>
              <w:t>等均属于《国家危险废物名录》中规定的危险废物，需按国家有关规定进行转移、运输及处置。项目危险废物均委托有资质单位处理处置。</w:t>
            </w:r>
          </w:p>
          <w:p w14:paraId="1169EFD6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危险废物处理严格落实危险固废转移台账管理，危废堆场采取严格的、科学的防渗措施，并落实去处与相关处理处置单位签订危废处置协议，能实现合理处置零排放，不会产生二次污染，对周边环境影响较小。</w:t>
            </w:r>
          </w:p>
        </w:tc>
      </w:tr>
      <w:tr w14:paraId="2991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 w14:paraId="08763F81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4754CC8B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4、噪声环境影响评价</w:t>
            </w:r>
          </w:p>
          <w:p w14:paraId="1B37CA1D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本项目噪声源主要为生产设备运行时产生的机械噪声，主要有修磨设备、各种泵、风机等，对噪声源都实施了“厂房隔声、减震”。</w:t>
            </w:r>
          </w:p>
          <w:p w14:paraId="3B6EED4A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本项目建成后对东、南、西、北厂界噪声均满足《工业企业厂界噪声排放标准》(</w:t>
            </w:r>
            <w:r>
              <w:rPr>
                <w:rFonts w:ascii="微软雅黑" w:hAnsi="微软雅黑" w:eastAsia="微软雅黑"/>
                <w:szCs w:val="21"/>
              </w:rPr>
              <w:t>GB12348-2008</w:t>
            </w:r>
            <w:r>
              <w:rPr>
                <w:rFonts w:hint="eastAsia" w:ascii="微软雅黑" w:hAnsi="微软雅黑" w:eastAsia="微软雅黑"/>
                <w:szCs w:val="21"/>
              </w:rPr>
              <w:t>)</w:t>
            </w: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类标准要求。由此可见，本项目的建设对区域声环境影响较小。</w:t>
            </w:r>
          </w:p>
        </w:tc>
      </w:tr>
      <w:tr w14:paraId="43E5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</w:tcPr>
          <w:p w14:paraId="54A07236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1A8C75EE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5、地下水环境影响评价</w:t>
            </w:r>
          </w:p>
          <w:p w14:paraId="406887A0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本项目地下水评价等级为三级。</w:t>
            </w:r>
          </w:p>
          <w:p w14:paraId="1F02C134">
            <w:pPr>
              <w:snapToGrid w:val="0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根据工程所处区域的地质情况，拟建项目可能对下水造成污染的途径主要有：生产车间、垃圾集中箱放置场地等污水下渗对地下水造成的污染。</w:t>
            </w:r>
          </w:p>
          <w:p w14:paraId="0105504B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>该项目重点污染区防渗措施为：生产车间地面采取粘土铺底，再在上层铺设10-15cm 的水泥进行硬化，并铺环氧树脂防渗；循环水池均用水泥硬化，四周壁用砖砌再用水泥硬化防渗，全池涂环氧树脂防腐防渗。通过上述措施可使重点污 染区各单元防渗层渗透系数≤10-10cm/s。 一般污染区防渗措施：生产工段地面、生产区路面、垃圾集中箱放置地、仓库地面采取粘土铺底，再在上层铺10~15cm 的水泥进行硬化。通过上述措施可使一般污染区各单元防渗层渗透系数≤10-7 cm/s。 由污染途径及对应措施分析可知，项目对可能产生地下水影响的各项途径均进行有效预防，在确保各项防渗措施得以落实，并加强维护和厂区环境管理的前提下，可有效控制厂区内的废水污染物下渗现象，避免污染地下水，因此项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对区域的地下水质影响较小。</w:t>
            </w:r>
          </w:p>
        </w:tc>
      </w:tr>
      <w:tr w14:paraId="2473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47" w:type="dxa"/>
            <w:vMerge w:val="continue"/>
          </w:tcPr>
          <w:p w14:paraId="64C70891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68F64B45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  <w:r>
              <w:rPr>
                <w:rFonts w:ascii="微软雅黑" w:hAnsi="微软雅黑" w:eastAsia="微软雅黑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土壤环境影响预测与评价</w:t>
            </w:r>
          </w:p>
          <w:p w14:paraId="42A08DF9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本项目考虑的污染源主要为危废储存不当其渗滤液下渗污染土壤。现状土壤环境质量监测结果表明：本项目用地范围内各监测点土壤监测指标均不超标，低于</w:t>
            </w:r>
            <w:r>
              <w:rPr>
                <w:rFonts w:ascii="微软雅黑" w:hAnsi="微软雅黑" w:eastAsia="微软雅黑"/>
                <w:szCs w:val="21"/>
              </w:rPr>
              <w:t>GB36600-2018</w:t>
            </w:r>
            <w:r>
              <w:rPr>
                <w:rFonts w:hint="eastAsia" w:ascii="微软雅黑" w:hAnsi="微软雅黑" w:eastAsia="微软雅黑"/>
                <w:szCs w:val="21"/>
              </w:rPr>
              <w:t>第二类建设用地筛选值，项目区域土壤现状环境质量良好。在厂区雨水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生活污水</w:t>
            </w:r>
            <w:r>
              <w:rPr>
                <w:rFonts w:hint="eastAsia" w:ascii="微软雅黑" w:hAnsi="微软雅黑" w:eastAsia="微软雅黑"/>
                <w:szCs w:val="21"/>
              </w:rPr>
              <w:t>收集系统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Cs w:val="21"/>
              </w:rPr>
              <w:t>雨水可将排水排入雨水管网，企业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生活污</w:t>
            </w:r>
            <w:r>
              <w:rPr>
                <w:rFonts w:hint="eastAsia" w:ascii="微软雅黑" w:hAnsi="微软雅黑" w:eastAsia="微软雅黑"/>
                <w:szCs w:val="21"/>
              </w:rPr>
              <w:t>水经污水管网排入濉溪开发区污水处理厂，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避免</w:t>
            </w:r>
            <w:r>
              <w:rPr>
                <w:rFonts w:hint="eastAsia" w:ascii="微软雅黑" w:hAnsi="微软雅黑" w:eastAsia="微软雅黑"/>
                <w:szCs w:val="21"/>
              </w:rPr>
              <w:t>进入土壤。在全面落实三级防控措施的情况下，物料或污染物的地面漫流对土壤影响较小。</w:t>
            </w:r>
          </w:p>
        </w:tc>
      </w:tr>
      <w:tr w14:paraId="192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3168E11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职业病危害控制效果评价</w:t>
            </w:r>
          </w:p>
          <w:p w14:paraId="19F1CEB3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 w14:paraId="6C936724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default" w:ascii="微软雅黑" w:hAnsi="微软雅黑" w:eastAsia="微软雅黑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2023年11月</w:t>
            </w:r>
          </w:p>
          <w:p w14:paraId="70EFAA00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66195ECB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根据职业病危害的调查、评价和本次职业病危害因素检测报告，本评价报告书得出以下结论：</w:t>
            </w:r>
          </w:p>
          <w:p w14:paraId="0A9BC72F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(1)本项目存在的主要职业病危害因素有：粉尘、噪声、高温、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氯化氢及盐酸等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。 </w:t>
            </w:r>
          </w:p>
          <w:p w14:paraId="2ADC5380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(2)根据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安徽中成检测</w:t>
            </w:r>
            <w:r>
              <w:rPr>
                <w:rFonts w:hint="eastAsia" w:ascii="微软雅黑" w:hAnsi="微软雅黑" w:eastAsia="微软雅黑"/>
                <w:szCs w:val="21"/>
              </w:rPr>
              <w:t>有限公司 202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3年11</w:t>
            </w:r>
            <w:r>
              <w:rPr>
                <w:rFonts w:hint="eastAsia" w:ascii="微软雅黑" w:hAnsi="微软雅黑" w:eastAsia="微软雅黑"/>
                <w:szCs w:val="21"/>
              </w:rPr>
              <w:t>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/>
                <w:szCs w:val="21"/>
              </w:rPr>
              <w:t>日现场检测报告表明，各检测岗位(检测点)接触工作场所空气中有毒有害物质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均符合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接触限值标准均符合GBZ2.1-2019《工作场所有害因素职业接触限值第1部分：化学有害因素》的要求。各检测岗位接触有害因素噪声的强度均符合GBZ2.2-2007《工作场所有害因素职业接触限值第2部分：物理因素》的要求。 </w:t>
            </w:r>
          </w:p>
          <w:p w14:paraId="1BCDDDE7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(3)本项目所采取的防尘、毒、防噪声设施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均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符合《工业企业设计卫生标准》(GBZ1-2010)的要求，职业病防护设施维护管理制度较为齐全，防护设施均能正常运行。 </w:t>
            </w:r>
          </w:p>
          <w:p w14:paraId="059DB122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(4)本项目所采用的个人防护用品符合《用人单位劳动防护用品管理规范》、《用人单位职业病防治指南》(GBZ225-2010)、《劳动防护用品配备标准(试行)》等标准。 </w:t>
            </w:r>
          </w:p>
          <w:p w14:paraId="0CC28F27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(5)在职业卫生管理方面，有管理体系、管理制度和操作规定，注重安全生产、职业卫生和环境保护教育，重视操作工人的个人防护，对可能发生的应急事故制定了一套较完整的处理救援方案；具有职业健康监护制度，对职工的职业健康起到了一定的促进作用。 </w:t>
            </w:r>
          </w:p>
          <w:p w14:paraId="240CE4C6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根据《关于公布建设项目职业病危害风险分类管理目录的通知》(国卫办职健发[2021]5号)中关于建设项目职业病危害风险分类管理的目录，该项目为金属制品业中的有色金属压延加工项目。 </w:t>
            </w:r>
          </w:p>
          <w:p w14:paraId="3800FE2A">
            <w:pPr>
              <w:snapToGrid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通过此次评价，本项目设备机械化、自动化程度较高，作业人员在现场接触有毒有害机会较少；具备一定的职业病防护措施和个人防护。本项目在试运行过程中，满足国家和地方对职业病防治方面法律、法规、标准的要求。本项目正常生产后，采取了控制效果评价报告书中所提对策措施和建议的情况下，能符合国家和地方对职业病防治方面法律、法规、标准的要求。</w:t>
            </w:r>
          </w:p>
        </w:tc>
      </w:tr>
      <w:tr w14:paraId="18D5A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5FFC387">
            <w:pPr>
              <w:snapToGrid w:val="0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水资源风险评价</w:t>
            </w:r>
          </w:p>
          <w:p w14:paraId="3FFCCE49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 w14:paraId="6082A1DB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2024年2月</w:t>
            </w:r>
          </w:p>
          <w:p w14:paraId="11784A01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006A9F6D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根据</w:t>
            </w:r>
            <w:r>
              <w:rPr>
                <w:rFonts w:hint="eastAsia" w:ascii="微软雅黑" w:hAnsi="微软雅黑" w:eastAsia="微软雅黑"/>
                <w:szCs w:val="21"/>
              </w:rPr>
              <w:t>“水资源风险评价”分析，本公司的水资源风险综合评定为“低风险”。</w:t>
            </w:r>
          </w:p>
          <w:p w14:paraId="56EA29FB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1、公司依据法规要求，没有采取地下水或者水库水、地表水。</w:t>
            </w:r>
          </w:p>
          <w:p w14:paraId="4A091D60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、公司生产工艺不产生“生产废水”。</w:t>
            </w:r>
          </w:p>
          <w:p w14:paraId="402DFBD3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、员工宿舍生活污水，产生量约20t/d，企业废水经污水管网排入濉溪开发区污水处理厂后处理，达标排放，每年委托有资质单位对本公司的废水进行检测，结果都是达标排放。</w:t>
            </w:r>
          </w:p>
          <w:p w14:paraId="22B51AE6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4</w:t>
            </w:r>
            <w:r>
              <w:rPr>
                <w:rFonts w:hint="eastAsia" w:ascii="微软雅黑" w:hAnsi="微软雅黑" w:eastAsia="微软雅黑"/>
                <w:szCs w:val="21"/>
              </w:rPr>
              <w:t>、公司所有的废油全部收集后交给有资质的危废处理机构进行处理。</w:t>
            </w:r>
          </w:p>
        </w:tc>
      </w:tr>
      <w:tr w14:paraId="7A3C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DFADC10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生物多样性风险评价</w:t>
            </w:r>
          </w:p>
          <w:p w14:paraId="2BD93C10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  <w:p w14:paraId="7C732A44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评价日期：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CN"/>
              </w:rPr>
              <w:t>2024年2月</w:t>
            </w:r>
          </w:p>
          <w:p w14:paraId="3AE7A868">
            <w:pPr>
              <w:pStyle w:val="7"/>
              <w:snapToGrid w:val="0"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Arial"/>
                <w:sz w:val="21"/>
                <w:szCs w:val="21"/>
              </w:rPr>
            </w:pPr>
          </w:p>
        </w:tc>
        <w:tc>
          <w:tcPr>
            <w:tcW w:w="12049" w:type="dxa"/>
          </w:tcPr>
          <w:p w14:paraId="655677A0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根据“生物多样性风险评估报告”</w:t>
            </w:r>
            <w:r>
              <w:rPr>
                <w:rFonts w:hint="eastAsia" w:ascii="微软雅黑" w:hAnsi="微软雅黑" w:eastAsia="微软雅黑"/>
                <w:szCs w:val="21"/>
              </w:rPr>
              <w:t>分析，本公司的生物多样性风险综合评定为“低风险”。</w:t>
            </w:r>
          </w:p>
          <w:p w14:paraId="21BD8AFA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</w:t>
            </w:r>
            <w:r>
              <w:rPr>
                <w:rFonts w:hint="eastAsia" w:ascii="微软雅黑" w:hAnsi="微软雅黑" w:eastAsia="微软雅黑"/>
                <w:szCs w:val="21"/>
              </w:rPr>
              <w:t>、建设项目废气主要是：燃烧炉废气、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退火炉</w:t>
            </w:r>
            <w:r>
              <w:rPr>
                <w:rFonts w:hint="eastAsia" w:ascii="微软雅黑" w:hAnsi="微软雅黑" w:eastAsia="微软雅黑"/>
                <w:szCs w:val="21"/>
              </w:rPr>
              <w:t>废气、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冷轧轧制油挥发</w:t>
            </w:r>
            <w:r>
              <w:rPr>
                <w:rFonts w:hint="eastAsia" w:ascii="微软雅黑" w:hAnsi="微软雅黑" w:eastAsia="微软雅黑"/>
                <w:szCs w:val="21"/>
              </w:rPr>
              <w:t>，主要污染物为烟(粉)尘、二氧化硫、氮氧化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物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、非甲烷总烃。 </w:t>
            </w:r>
          </w:p>
          <w:p w14:paraId="78658C6B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、生产过程采用退火炉和酸洗设备对铝板分别进行退火和表面处理，排放废气经检测符合国标（《工业炉窑大气污染物排放标准 DB32/3728-2020》、《大气污染物综合排放标准GB16297-1996》），未出现超标情况。 </w:t>
            </w:r>
          </w:p>
          <w:p w14:paraId="0DE27F98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项目用水为循环用水，不产生污水，生活污水，产生量为约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t/d。废水经污水管网排入开发区污水处理厂处理后，达标排放。</w:t>
            </w:r>
            <w:r>
              <w:rPr>
                <w:rFonts w:hint="eastAsia" w:ascii="微软雅黑" w:hAnsi="微软雅黑" w:eastAsia="微软雅黑"/>
                <w:szCs w:val="21"/>
              </w:rPr>
              <w:t>。</w:t>
            </w:r>
          </w:p>
          <w:p w14:paraId="6EFE060F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4、经调查得知，项目周边</w:t>
            </w:r>
            <w:r>
              <w:rPr>
                <w:rFonts w:ascii="微软雅黑" w:hAnsi="微软雅黑" w:eastAsia="微软雅黑"/>
                <w:szCs w:val="21"/>
              </w:rPr>
              <w:t>500m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范围内，无列入《国家重点保护野生植物名录》和《国家重点保护野生动物名录》的动植物。 </w:t>
            </w:r>
          </w:p>
          <w:p w14:paraId="32CBB06D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、项目建设时，委托有资质单位对本公司的污染影响进行评估，得知整体污染风险较小。 </w:t>
            </w:r>
          </w:p>
          <w:p w14:paraId="0F3A9C17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6、依据排污许可证的监测要求，每年委托有资质单位对本公司的废气及厂界噪声进行检测，结果都是达标排放。</w:t>
            </w:r>
          </w:p>
          <w:p w14:paraId="7072ABFB">
            <w:pPr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6、公司以及公司员工，没有特意或故意引进外来物种。</w:t>
            </w:r>
          </w:p>
        </w:tc>
      </w:tr>
    </w:tbl>
    <w:p w14:paraId="0FCE7D92">
      <w:pPr>
        <w:snapToGrid w:val="0"/>
        <w:rPr>
          <w:rFonts w:ascii="微软雅黑" w:hAnsi="微软雅黑" w:eastAsia="微软雅黑"/>
          <w:b/>
          <w:bCs/>
          <w:color w:val="FF0000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219075</wp:posOffset>
            </wp:positionV>
            <wp:extent cx="685800" cy="466725"/>
            <wp:effectExtent l="0" t="0" r="0" b="952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4D20ED">
      <w:pPr>
        <w:tabs>
          <w:tab w:val="left" w:pos="1378"/>
        </w:tabs>
        <w:bidi w:val="0"/>
        <w:jc w:val="center"/>
        <w:rPr>
          <w:rFonts w:hint="default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            评估人：</w:t>
      </w:r>
    </w:p>
    <w:p w14:paraId="417B9FE6">
      <w:pPr>
        <w:tabs>
          <w:tab w:val="left" w:pos="1378"/>
        </w:tabs>
        <w:bidi w:val="0"/>
        <w:jc w:val="right"/>
        <w:rPr>
          <w:rFonts w:hint="eastAsia" w:ascii="微软雅黑" w:hAnsi="微软雅黑" w:eastAsia="微软雅黑" w:cs="微软雅黑"/>
          <w:sz w:val="28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Cs w:val="21"/>
          <w:highlight w:val="none"/>
          <w:lang w:val="en-US" w:eastAsia="zh-CN"/>
        </w:rPr>
        <w:t xml:space="preserve"> </w:t>
      </w:r>
    </w:p>
    <w:p w14:paraId="2345D08B">
      <w:pPr>
        <w:tabs>
          <w:tab w:val="left" w:pos="1378"/>
        </w:tabs>
        <w:bidi w:val="0"/>
        <w:jc w:val="righ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评估日期：2024年02月01日</w:t>
      </w:r>
    </w:p>
    <w:p w14:paraId="5A05C3FA">
      <w:pPr>
        <w:pStyle w:val="7"/>
        <w:shd w:val="clear" w:color="auto" w:fill="FFFFFF"/>
        <w:snapToGrid w:val="0"/>
        <w:spacing w:before="0" w:beforeAutospacing="0" w:after="0" w:afterAutospacing="0"/>
        <w:jc w:val="both"/>
        <w:rPr>
          <w:rFonts w:hint="eastAsia" w:ascii="微软雅黑" w:hAnsi="微软雅黑" w:eastAsia="微软雅黑" w:cs="Arial"/>
          <w:sz w:val="21"/>
          <w:szCs w:val="21"/>
        </w:rPr>
      </w:pPr>
    </w:p>
    <w:sectPr>
      <w:pgSz w:w="16838" w:h="11906" w:orient="landscape"/>
      <w:pgMar w:top="1418" w:right="1134" w:bottom="1134" w:left="1134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2979F"/>
    <w:multiLevelType w:val="singleLevel"/>
    <w:tmpl w:val="F7A2979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15"/>
    <w:rsid w:val="00021173"/>
    <w:rsid w:val="00030795"/>
    <w:rsid w:val="001558BD"/>
    <w:rsid w:val="00165B97"/>
    <w:rsid w:val="00177F86"/>
    <w:rsid w:val="001B1A74"/>
    <w:rsid w:val="0021042D"/>
    <w:rsid w:val="0022017C"/>
    <w:rsid w:val="00250840"/>
    <w:rsid w:val="00274A0D"/>
    <w:rsid w:val="002F3F49"/>
    <w:rsid w:val="003044D1"/>
    <w:rsid w:val="00310E3F"/>
    <w:rsid w:val="00357DEA"/>
    <w:rsid w:val="003C0E6A"/>
    <w:rsid w:val="00404BB7"/>
    <w:rsid w:val="00404D0D"/>
    <w:rsid w:val="00425FB1"/>
    <w:rsid w:val="004617B0"/>
    <w:rsid w:val="00584AC7"/>
    <w:rsid w:val="005B5F5C"/>
    <w:rsid w:val="00663058"/>
    <w:rsid w:val="006F3022"/>
    <w:rsid w:val="0072671A"/>
    <w:rsid w:val="00763F4F"/>
    <w:rsid w:val="007B2BDA"/>
    <w:rsid w:val="00893F15"/>
    <w:rsid w:val="008C0E42"/>
    <w:rsid w:val="009607F7"/>
    <w:rsid w:val="0099781D"/>
    <w:rsid w:val="009D5D19"/>
    <w:rsid w:val="00A339DF"/>
    <w:rsid w:val="00A903F6"/>
    <w:rsid w:val="00AA667F"/>
    <w:rsid w:val="00B049CF"/>
    <w:rsid w:val="00B768DE"/>
    <w:rsid w:val="00C07D55"/>
    <w:rsid w:val="00C13014"/>
    <w:rsid w:val="00CB4194"/>
    <w:rsid w:val="00DA0C25"/>
    <w:rsid w:val="00DA3A45"/>
    <w:rsid w:val="00DF467F"/>
    <w:rsid w:val="00DF6833"/>
    <w:rsid w:val="00E65CAE"/>
    <w:rsid w:val="00EA14C7"/>
    <w:rsid w:val="00EB2FCA"/>
    <w:rsid w:val="00EB32C3"/>
    <w:rsid w:val="00ED1400"/>
    <w:rsid w:val="00EF098D"/>
    <w:rsid w:val="00F766A6"/>
    <w:rsid w:val="00FA2B08"/>
    <w:rsid w:val="2EA56EC7"/>
    <w:rsid w:val="5E3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3">
    <w:name w:val="标题 3 字符"/>
    <w:basedOn w:val="10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4">
    <w:name w:val="e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word"/>
    <w:basedOn w:val="10"/>
    <w:uiPriority w:val="0"/>
  </w:style>
  <w:style w:type="character" w:customStyle="1" w:styleId="16">
    <w:name w:val="form"/>
    <w:basedOn w:val="10"/>
    <w:uiPriority w:val="0"/>
  </w:style>
  <w:style w:type="character" w:customStyle="1" w:styleId="17">
    <w:name w:val="time"/>
    <w:basedOn w:val="10"/>
    <w:uiPriority w:val="0"/>
  </w:style>
  <w:style w:type="character" w:customStyle="1" w:styleId="18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4 字符"/>
    <w:basedOn w:val="10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0">
    <w:name w:val="publishdat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眉 字符"/>
    <w:basedOn w:val="10"/>
    <w:link w:val="6"/>
    <w:uiPriority w:val="99"/>
    <w:rPr>
      <w:sz w:val="18"/>
      <w:szCs w:val="18"/>
    </w:rPr>
  </w:style>
  <w:style w:type="character" w:customStyle="1" w:styleId="22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3259</Words>
  <Characters>3473</Characters>
  <Lines>42</Lines>
  <Paragraphs>11</Paragraphs>
  <TotalTime>1</TotalTime>
  <ScaleCrop>false</ScaleCrop>
  <LinksUpToDate>false</LinksUpToDate>
  <CharactersWithSpaces>3598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2023-07-02T02:33:00Z</dcterms:created>
  <dc:creator>Lin Hou Gui</dc:creator>
  <cp:lastModifiedBy>企业用户_1516755556</cp:lastModifiedBy>
  <dcterms:modified xsi:type="dcterms:W3CDTF">2024-12-05T06:18:43Z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B8FFE0F483274FFAA9DE2E324F5BB0AE_12</vt:lpwstr>
  </property>
</Properties>
</file>