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F60AB">
      <w:pPr>
        <w:jc w:val="center"/>
        <w:rPr>
          <w:rFonts w:hAnsi="宋体"/>
          <w:b/>
          <w:sz w:val="48"/>
          <w:szCs w:val="48"/>
        </w:rPr>
      </w:pPr>
      <w:r>
        <w:rPr>
          <w:rFonts w:hint="eastAsia" w:hAnsi="宋体"/>
          <w:b/>
          <w:sz w:val="48"/>
          <w:szCs w:val="48"/>
        </w:rPr>
        <w:t>安徽</w:t>
      </w:r>
      <w:r>
        <w:rPr>
          <w:rFonts w:hint="eastAsia" w:hAnsi="宋体"/>
          <w:b/>
          <w:sz w:val="48"/>
          <w:szCs w:val="48"/>
          <w:lang w:val="en-US" w:eastAsia="zh-CN"/>
        </w:rPr>
        <w:t>美信铝业</w:t>
      </w:r>
      <w:r>
        <w:rPr>
          <w:rFonts w:hint="eastAsia" w:hAnsi="宋体"/>
          <w:b/>
          <w:sz w:val="48"/>
          <w:szCs w:val="48"/>
        </w:rPr>
        <w:t>有限公司</w:t>
      </w:r>
    </w:p>
    <w:p w14:paraId="411F7C5F">
      <w:pPr>
        <w:jc w:val="center"/>
        <w:rPr>
          <w:b/>
          <w:sz w:val="32"/>
          <w:szCs w:val="32"/>
        </w:rPr>
      </w:pPr>
      <w:r>
        <w:rPr>
          <w:rFonts w:hint="eastAsia" w:hAnsi="宋体"/>
          <w:b/>
          <w:sz w:val="32"/>
          <w:szCs w:val="32"/>
        </w:rPr>
        <w:t>温室气体</w:t>
      </w:r>
      <w:r>
        <w:rPr>
          <w:rFonts w:hAnsi="宋体"/>
          <w:b/>
          <w:sz w:val="32"/>
          <w:szCs w:val="32"/>
        </w:rPr>
        <w:t>减排工作实施方案</w:t>
      </w:r>
    </w:p>
    <w:p w14:paraId="0C6CB900">
      <w:pPr>
        <w:rPr>
          <w:rFonts w:hint="eastAsia"/>
          <w:b/>
          <w:sz w:val="36"/>
          <w:szCs w:val="36"/>
        </w:rPr>
      </w:pPr>
    </w:p>
    <w:p w14:paraId="0E98F574">
      <w:pPr>
        <w:rPr>
          <w:b/>
          <w:sz w:val="36"/>
          <w:szCs w:val="36"/>
        </w:rPr>
      </w:pPr>
    </w:p>
    <w:p w14:paraId="3C5BA6CB">
      <w:pPr>
        <w:snapToGrid w:val="0"/>
        <w:spacing w:line="360" w:lineRule="auto"/>
        <w:ind w:firstLine="585"/>
        <w:rPr>
          <w:rFonts w:hint="eastAsia" w:hAnsi="宋体"/>
          <w:kern w:val="0"/>
          <w:sz w:val="24"/>
          <w:lang w:val="zh-CN"/>
        </w:rPr>
      </w:pPr>
      <w:r>
        <w:rPr>
          <w:rFonts w:hAnsi="宋体"/>
          <w:sz w:val="24"/>
          <w:lang w:val="zh-CN"/>
        </w:rPr>
        <w:t>为了推进</w:t>
      </w:r>
      <w:r>
        <w:rPr>
          <w:sz w:val="24"/>
          <w:lang w:val="zh-CN"/>
        </w:rPr>
        <w:t>“</w:t>
      </w:r>
      <w:r>
        <w:rPr>
          <w:rFonts w:hAnsi="宋体"/>
          <w:sz w:val="24"/>
          <w:lang w:val="zh-CN"/>
        </w:rPr>
        <w:t>节约型</w:t>
      </w:r>
      <w:r>
        <w:rPr>
          <w:sz w:val="24"/>
          <w:lang w:val="zh-CN"/>
        </w:rPr>
        <w:t>”</w:t>
      </w:r>
      <w:r>
        <w:rPr>
          <w:rFonts w:hAnsi="宋体"/>
          <w:sz w:val="24"/>
          <w:lang w:val="zh-CN"/>
        </w:rPr>
        <w:t>公司建设，强化节能减排工作，提升资源利用效益，降低运行成本，按照《公共机构节能条例》和《</w:t>
      </w:r>
      <w:r>
        <w:rPr>
          <w:rFonts w:hint="eastAsia" w:hAnsi="宋体"/>
          <w:sz w:val="24"/>
          <w:lang w:val="zh-CN"/>
        </w:rPr>
        <w:t>濉溪开发区“大气污染物”专项行动</w:t>
      </w:r>
      <w:r>
        <w:rPr>
          <w:rFonts w:hAnsi="宋体"/>
          <w:sz w:val="24"/>
          <w:lang w:val="zh-CN"/>
        </w:rPr>
        <w:t>实施方案》的有关要求，结合我公司实际，特制定本</w:t>
      </w:r>
      <w:r>
        <w:rPr>
          <w:rFonts w:hAnsi="宋体"/>
          <w:kern w:val="0"/>
          <w:sz w:val="24"/>
          <w:lang w:val="zh-CN"/>
        </w:rPr>
        <w:t>实施方案。</w:t>
      </w:r>
    </w:p>
    <w:p w14:paraId="56BF1CCE">
      <w:pPr>
        <w:snapToGrid w:val="0"/>
        <w:spacing w:line="360" w:lineRule="auto"/>
        <w:ind w:firstLine="482" w:firstLineChars="200"/>
        <w:rPr>
          <w:b/>
          <w:sz w:val="24"/>
        </w:rPr>
      </w:pPr>
      <w:r>
        <w:rPr>
          <w:rFonts w:hAnsi="宋体"/>
          <w:b/>
          <w:sz w:val="24"/>
        </w:rPr>
        <w:t>一、指导思想</w:t>
      </w:r>
    </w:p>
    <w:p w14:paraId="722D338C">
      <w:pPr>
        <w:snapToGrid w:val="0"/>
        <w:spacing w:line="360" w:lineRule="auto"/>
        <w:ind w:firstLine="480" w:firstLineChars="200"/>
        <w:rPr>
          <w:rFonts w:hint="eastAsia"/>
          <w:sz w:val="24"/>
          <w:highlight w:val="none"/>
        </w:rPr>
      </w:pPr>
      <w:r>
        <w:rPr>
          <w:rFonts w:hAnsi="宋体"/>
          <w:kern w:val="0"/>
          <w:sz w:val="24"/>
          <w:lang w:val="zh-CN"/>
        </w:rPr>
        <w:t>深入贯彻落实科学发展观，以建立节约型公司为目标，通过深入宣传、创新机制、强化管理、健全制度等措施，</w:t>
      </w:r>
      <w:r>
        <w:rPr>
          <w:rFonts w:hAnsi="宋体"/>
          <w:sz w:val="24"/>
          <w:lang w:val="zh-CN"/>
        </w:rPr>
        <w:t>突出抓好</w:t>
      </w:r>
      <w:r>
        <w:rPr>
          <w:rFonts w:hint="eastAsia" w:hAnsi="宋体"/>
          <w:sz w:val="24"/>
          <w:lang w:val="zh-CN"/>
        </w:rPr>
        <w:t>设备改造、</w:t>
      </w:r>
      <w:r>
        <w:rPr>
          <w:rFonts w:hAnsi="宋体"/>
          <w:sz w:val="24"/>
          <w:lang w:val="zh-CN"/>
        </w:rPr>
        <w:t>节水、节电、节油和办公耗材、办公经费的节约等重点工作，引导广大干部职工树立节俭意识，自觉厉行节约，反对铺张浪费，</w:t>
      </w:r>
      <w:r>
        <w:rPr>
          <w:rFonts w:hAnsi="宋体"/>
          <w:sz w:val="24"/>
        </w:rPr>
        <w:t>全面推进能源、资源节约工作，</w:t>
      </w:r>
      <w:r>
        <w:rPr>
          <w:rFonts w:hAnsi="宋体"/>
          <w:sz w:val="24"/>
          <w:highlight w:val="none"/>
        </w:rPr>
        <w:t>完成</w:t>
      </w:r>
      <w:r>
        <w:rPr>
          <w:rFonts w:hint="eastAsia"/>
          <w:sz w:val="24"/>
          <w:highlight w:val="none"/>
        </w:rPr>
        <w:t>2</w:t>
      </w:r>
      <w:r>
        <w:rPr>
          <w:sz w:val="24"/>
          <w:highlight w:val="none"/>
        </w:rPr>
        <w:t>02</w:t>
      </w:r>
      <w:r>
        <w:rPr>
          <w:rFonts w:hint="eastAsia"/>
          <w:sz w:val="24"/>
          <w:highlight w:val="none"/>
          <w:lang w:val="en-US" w:eastAsia="zh-CN"/>
        </w:rPr>
        <w:t>4</w:t>
      </w:r>
      <w:r>
        <w:rPr>
          <w:rFonts w:hAnsi="宋体"/>
          <w:sz w:val="24"/>
          <w:highlight w:val="none"/>
        </w:rPr>
        <w:t>年节能减排任务，</w:t>
      </w:r>
      <w:r>
        <w:rPr>
          <w:rFonts w:hAnsi="宋体"/>
          <w:sz w:val="24"/>
          <w:highlight w:val="none"/>
          <w:lang w:val="zh-CN"/>
        </w:rPr>
        <w:t>进一步提高管理和服务水平，促进公司全面和谐发展。</w:t>
      </w:r>
    </w:p>
    <w:p w14:paraId="1B64C3D7">
      <w:pPr>
        <w:snapToGrid w:val="0"/>
        <w:spacing w:line="360" w:lineRule="auto"/>
        <w:ind w:firstLine="482" w:firstLineChars="200"/>
        <w:rPr>
          <w:b/>
          <w:sz w:val="24"/>
          <w:highlight w:val="none"/>
        </w:rPr>
      </w:pPr>
      <w:r>
        <w:rPr>
          <w:rFonts w:hAnsi="宋体"/>
          <w:b/>
          <w:sz w:val="24"/>
          <w:highlight w:val="none"/>
        </w:rPr>
        <w:t>二、主要目标</w:t>
      </w:r>
    </w:p>
    <w:p w14:paraId="743F1D58">
      <w:pPr>
        <w:autoSpaceDE w:val="0"/>
        <w:autoSpaceDN w:val="0"/>
        <w:adjustRightInd w:val="0"/>
        <w:snapToGrid w:val="0"/>
        <w:spacing w:line="360" w:lineRule="auto"/>
        <w:ind w:firstLine="633"/>
        <w:rPr>
          <w:rFonts w:hint="eastAsia"/>
          <w:kern w:val="0"/>
          <w:sz w:val="24"/>
          <w:highlight w:val="none"/>
          <w:lang w:val="zh-CN"/>
        </w:rPr>
      </w:pPr>
      <w:r>
        <w:rPr>
          <w:kern w:val="0"/>
          <w:sz w:val="24"/>
          <w:highlight w:val="none"/>
          <w:lang w:val="zh-CN"/>
        </w:rPr>
        <w:t>20</w:t>
      </w:r>
      <w:r>
        <w:rPr>
          <w:rFonts w:hint="eastAsia"/>
          <w:kern w:val="0"/>
          <w:sz w:val="24"/>
          <w:highlight w:val="none"/>
        </w:rPr>
        <w:t>2</w:t>
      </w:r>
      <w:r>
        <w:rPr>
          <w:rFonts w:hint="eastAsia"/>
          <w:kern w:val="0"/>
          <w:sz w:val="24"/>
          <w:highlight w:val="none"/>
          <w:lang w:val="en-US" w:eastAsia="zh-CN"/>
        </w:rPr>
        <w:t>4</w:t>
      </w:r>
      <w:r>
        <w:rPr>
          <w:rFonts w:hAnsi="宋体"/>
          <w:kern w:val="0"/>
          <w:sz w:val="24"/>
          <w:highlight w:val="none"/>
          <w:lang w:val="zh-CN"/>
        </w:rPr>
        <w:t>年，温室气体排放</w:t>
      </w:r>
      <w:r>
        <w:rPr>
          <w:rFonts w:hint="eastAsia" w:hAnsi="宋体"/>
          <w:kern w:val="0"/>
          <w:sz w:val="24"/>
          <w:highlight w:val="none"/>
          <w:lang w:val="zh-CN"/>
        </w:rPr>
        <w:t>、</w:t>
      </w:r>
      <w:r>
        <w:rPr>
          <w:rFonts w:hAnsi="宋体"/>
          <w:kern w:val="0"/>
          <w:sz w:val="24"/>
          <w:highlight w:val="none"/>
          <w:lang w:val="zh-CN"/>
        </w:rPr>
        <w:t>节约能源、资源工作要实现以下主要目标：</w:t>
      </w:r>
    </w:p>
    <w:p w14:paraId="4EC9B93E">
      <w:pPr>
        <w:autoSpaceDE w:val="0"/>
        <w:autoSpaceDN w:val="0"/>
        <w:adjustRightInd w:val="0"/>
        <w:snapToGrid w:val="0"/>
        <w:spacing w:line="360" w:lineRule="auto"/>
        <w:ind w:firstLine="633"/>
        <w:rPr>
          <w:rFonts w:hint="eastAsia"/>
          <w:kern w:val="0"/>
          <w:sz w:val="24"/>
          <w:highlight w:val="none"/>
          <w:lang w:val="zh-CN"/>
        </w:rPr>
      </w:pPr>
      <w:r>
        <w:rPr>
          <w:kern w:val="0"/>
          <w:sz w:val="24"/>
          <w:highlight w:val="none"/>
          <w:lang w:val="zh-CN"/>
        </w:rPr>
        <w:t>(</w:t>
      </w:r>
      <w:r>
        <w:rPr>
          <w:rFonts w:hAnsi="宋体"/>
          <w:kern w:val="0"/>
          <w:sz w:val="24"/>
          <w:highlight w:val="none"/>
          <w:lang w:val="zh-CN"/>
        </w:rPr>
        <w:t>一</w:t>
      </w:r>
      <w:r>
        <w:rPr>
          <w:kern w:val="0"/>
          <w:sz w:val="24"/>
          <w:highlight w:val="none"/>
          <w:lang w:val="zh-CN"/>
        </w:rPr>
        <w:t>)</w:t>
      </w:r>
      <w:r>
        <w:rPr>
          <w:rFonts w:hint="eastAsia" w:hAnsi="宋体"/>
          <w:kern w:val="0"/>
          <w:sz w:val="24"/>
          <w:highlight w:val="none"/>
          <w:lang w:val="zh-CN"/>
        </w:rPr>
        <w:t xml:space="preserve"> 单位产品</w:t>
      </w:r>
      <w:r>
        <w:rPr>
          <w:kern w:val="0"/>
          <w:sz w:val="24"/>
          <w:highlight w:val="none"/>
          <w:lang w:val="zh-CN"/>
        </w:rPr>
        <w:t>温室气体排放在</w:t>
      </w:r>
      <w:r>
        <w:rPr>
          <w:rFonts w:hint="eastAsia"/>
          <w:kern w:val="0"/>
          <w:sz w:val="24"/>
          <w:highlight w:val="none"/>
          <w:lang w:val="zh-CN"/>
        </w:rPr>
        <w:t>20</w:t>
      </w:r>
      <w:r>
        <w:rPr>
          <w:kern w:val="0"/>
          <w:sz w:val="24"/>
          <w:highlight w:val="none"/>
        </w:rPr>
        <w:t>2</w:t>
      </w:r>
      <w:r>
        <w:rPr>
          <w:rFonts w:hint="eastAsia"/>
          <w:kern w:val="0"/>
          <w:sz w:val="24"/>
          <w:highlight w:val="none"/>
          <w:lang w:val="en-US" w:eastAsia="zh-CN"/>
        </w:rPr>
        <w:t>3</w:t>
      </w:r>
      <w:r>
        <w:rPr>
          <w:rFonts w:hint="eastAsia"/>
          <w:kern w:val="0"/>
          <w:sz w:val="24"/>
          <w:highlight w:val="none"/>
          <w:lang w:val="zh-CN"/>
        </w:rPr>
        <w:t>年基础上降低</w:t>
      </w:r>
      <w:r>
        <w:rPr>
          <w:rFonts w:hint="eastAsia"/>
          <w:kern w:val="0"/>
          <w:sz w:val="24"/>
          <w:highlight w:val="none"/>
          <w:lang w:val="en-US" w:eastAsia="zh-CN"/>
        </w:rPr>
        <w:t>10</w:t>
      </w:r>
      <w:r>
        <w:rPr>
          <w:rFonts w:hint="eastAsia"/>
          <w:kern w:val="0"/>
          <w:sz w:val="24"/>
          <w:highlight w:val="none"/>
          <w:lang w:val="zh-CN"/>
        </w:rPr>
        <w:t>%；</w:t>
      </w:r>
    </w:p>
    <w:p w14:paraId="141A5625">
      <w:pPr>
        <w:autoSpaceDE w:val="0"/>
        <w:autoSpaceDN w:val="0"/>
        <w:adjustRightInd w:val="0"/>
        <w:snapToGrid w:val="0"/>
        <w:spacing w:line="360" w:lineRule="auto"/>
        <w:ind w:firstLine="633"/>
        <w:rPr>
          <w:rFonts w:hint="eastAsia"/>
          <w:kern w:val="0"/>
          <w:sz w:val="24"/>
          <w:highlight w:val="none"/>
          <w:lang w:val="zh-CN"/>
        </w:rPr>
      </w:pPr>
      <w:r>
        <w:rPr>
          <w:rFonts w:hint="eastAsia"/>
          <w:kern w:val="0"/>
          <w:sz w:val="24"/>
          <w:highlight w:val="none"/>
          <w:lang w:val="zh-CN"/>
        </w:rPr>
        <w:t>(二)</w:t>
      </w:r>
      <w:r>
        <w:rPr>
          <w:rFonts w:hint="eastAsia" w:hAnsi="宋体"/>
          <w:kern w:val="0"/>
          <w:sz w:val="24"/>
          <w:highlight w:val="none"/>
          <w:lang w:val="zh-CN"/>
        </w:rPr>
        <w:t xml:space="preserve"> 单位产品天然气和</w:t>
      </w:r>
      <w:r>
        <w:rPr>
          <w:rFonts w:hAnsi="宋体"/>
          <w:kern w:val="0"/>
          <w:sz w:val="24"/>
          <w:highlight w:val="none"/>
          <w:lang w:val="zh-CN"/>
        </w:rPr>
        <w:t>电的能耗指标在</w:t>
      </w:r>
      <w:r>
        <w:rPr>
          <w:kern w:val="0"/>
          <w:sz w:val="24"/>
          <w:highlight w:val="none"/>
          <w:lang w:val="zh-CN"/>
        </w:rPr>
        <w:t>202</w:t>
      </w:r>
      <w:r>
        <w:rPr>
          <w:rFonts w:hint="eastAsia"/>
          <w:kern w:val="0"/>
          <w:sz w:val="24"/>
          <w:highlight w:val="none"/>
          <w:lang w:val="en-US" w:eastAsia="zh-CN"/>
        </w:rPr>
        <w:t>3</w:t>
      </w:r>
      <w:r>
        <w:rPr>
          <w:rFonts w:hAnsi="宋体"/>
          <w:kern w:val="0"/>
          <w:sz w:val="24"/>
          <w:highlight w:val="none"/>
          <w:lang w:val="zh-CN"/>
        </w:rPr>
        <w:t>年基础上降低</w:t>
      </w:r>
      <w:r>
        <w:rPr>
          <w:rFonts w:hint="eastAsia" w:hAnsi="宋体"/>
          <w:kern w:val="0"/>
          <w:sz w:val="24"/>
          <w:highlight w:val="none"/>
          <w:lang w:val="en-US" w:eastAsia="zh-CN"/>
        </w:rPr>
        <w:t>2</w:t>
      </w:r>
      <w:r>
        <w:rPr>
          <w:kern w:val="0"/>
          <w:sz w:val="24"/>
          <w:highlight w:val="none"/>
          <w:lang w:val="zh-CN"/>
        </w:rPr>
        <w:t>%；</w:t>
      </w:r>
    </w:p>
    <w:p w14:paraId="4489FBAE">
      <w:pPr>
        <w:autoSpaceDE w:val="0"/>
        <w:autoSpaceDN w:val="0"/>
        <w:adjustRightInd w:val="0"/>
        <w:snapToGrid w:val="0"/>
        <w:spacing w:line="360" w:lineRule="auto"/>
        <w:ind w:firstLine="633"/>
        <w:rPr>
          <w:rFonts w:hint="eastAsia"/>
          <w:kern w:val="0"/>
          <w:sz w:val="24"/>
          <w:lang w:val="zh-CN"/>
        </w:rPr>
      </w:pPr>
      <w:r>
        <w:rPr>
          <w:kern w:val="0"/>
          <w:sz w:val="24"/>
          <w:lang w:val="zh-CN"/>
        </w:rPr>
        <w:t>(</w:t>
      </w:r>
      <w:r>
        <w:rPr>
          <w:rFonts w:hint="eastAsia" w:hAnsi="宋体"/>
          <w:kern w:val="0"/>
          <w:sz w:val="24"/>
          <w:lang w:val="zh-CN"/>
        </w:rPr>
        <w:t>三</w:t>
      </w:r>
      <w:r>
        <w:rPr>
          <w:kern w:val="0"/>
          <w:sz w:val="24"/>
          <w:lang w:val="zh-CN"/>
        </w:rPr>
        <w:t>)</w:t>
      </w:r>
      <w:r>
        <w:rPr>
          <w:rFonts w:hAnsi="宋体"/>
          <w:kern w:val="0"/>
          <w:sz w:val="24"/>
          <w:lang w:val="zh-CN"/>
        </w:rPr>
        <w:t>初步建立管理规范、制度保障、职责明确、执行有效的节约能源、资源管理运行机制；</w:t>
      </w:r>
    </w:p>
    <w:p w14:paraId="5C2CCC5B">
      <w:pPr>
        <w:autoSpaceDE w:val="0"/>
        <w:autoSpaceDN w:val="0"/>
        <w:adjustRightInd w:val="0"/>
        <w:snapToGrid w:val="0"/>
        <w:spacing w:line="360" w:lineRule="auto"/>
        <w:ind w:firstLine="633"/>
        <w:rPr>
          <w:rFonts w:hint="eastAsia"/>
          <w:kern w:val="0"/>
          <w:sz w:val="24"/>
          <w:lang w:val="zh-CN"/>
        </w:rPr>
      </w:pPr>
      <w:r>
        <w:rPr>
          <w:kern w:val="0"/>
          <w:sz w:val="24"/>
          <w:lang w:val="zh-CN"/>
        </w:rPr>
        <w:t>(</w:t>
      </w:r>
      <w:r>
        <w:rPr>
          <w:rFonts w:hint="eastAsia" w:hAnsi="宋体"/>
          <w:kern w:val="0"/>
          <w:sz w:val="24"/>
          <w:lang w:val="zh-CN"/>
        </w:rPr>
        <w:t>四</w:t>
      </w:r>
      <w:r>
        <w:rPr>
          <w:kern w:val="0"/>
          <w:sz w:val="24"/>
          <w:lang w:val="zh-CN"/>
        </w:rPr>
        <w:t>)</w:t>
      </w:r>
      <w:r>
        <w:rPr>
          <w:rFonts w:hAnsi="宋体"/>
          <w:kern w:val="0"/>
          <w:sz w:val="24"/>
          <w:lang w:val="zh-CN"/>
        </w:rPr>
        <w:t>干部职工节约能源、资源意识显著增强，把节约能源、资源变成自觉行动；</w:t>
      </w:r>
    </w:p>
    <w:p w14:paraId="0DD134FD">
      <w:pPr>
        <w:autoSpaceDE w:val="0"/>
        <w:autoSpaceDN w:val="0"/>
        <w:adjustRightInd w:val="0"/>
        <w:snapToGrid w:val="0"/>
        <w:spacing w:line="360" w:lineRule="auto"/>
        <w:ind w:left="638" w:leftChars="304" w:firstLine="0" w:firstLineChars="0"/>
        <w:jc w:val="left"/>
        <w:rPr>
          <w:rFonts w:hint="eastAsia" w:hAnsi="宋体"/>
          <w:kern w:val="0"/>
          <w:sz w:val="24"/>
          <w:highlight w:val="none"/>
          <w:lang w:val="zh-CN" w:eastAsia="zh-CN"/>
        </w:rPr>
      </w:pPr>
      <w:r>
        <w:rPr>
          <w:kern w:val="0"/>
          <w:sz w:val="24"/>
          <w:lang w:val="zh-CN"/>
        </w:rPr>
        <w:t>(</w:t>
      </w:r>
      <w:r>
        <w:rPr>
          <w:rFonts w:hint="eastAsia" w:hAnsi="宋体"/>
          <w:kern w:val="0"/>
          <w:sz w:val="24"/>
          <w:lang w:val="zh-CN"/>
        </w:rPr>
        <w:t>五</w:t>
      </w:r>
      <w:r>
        <w:rPr>
          <w:kern w:val="0"/>
          <w:sz w:val="24"/>
          <w:lang w:val="zh-CN"/>
        </w:rPr>
        <w:t>)</w:t>
      </w:r>
      <w:r>
        <w:rPr>
          <w:rFonts w:hAnsi="宋体"/>
          <w:kern w:val="0"/>
          <w:sz w:val="24"/>
          <w:lang w:val="zh-CN"/>
        </w:rPr>
        <w:t>节约能源和资源的技术、管理水平以及资源利用效率有较大</w:t>
      </w:r>
      <w:r>
        <w:rPr>
          <w:rFonts w:hint="eastAsia" w:hAnsi="宋体"/>
          <w:kern w:val="0"/>
          <w:sz w:val="24"/>
          <w:highlight w:val="none"/>
          <w:lang w:val="zh-CN" w:eastAsia="zh-CN"/>
        </w:rPr>
        <w:t>提高。</w:t>
      </w:r>
    </w:p>
    <w:p w14:paraId="6BC27774">
      <w:pPr>
        <w:autoSpaceDE w:val="0"/>
        <w:autoSpaceDN w:val="0"/>
        <w:adjustRightInd w:val="0"/>
        <w:snapToGrid w:val="0"/>
        <w:spacing w:line="360" w:lineRule="auto"/>
        <w:ind w:left="638" w:leftChars="304" w:firstLine="0" w:firstLineChars="0"/>
        <w:jc w:val="left"/>
        <w:rPr>
          <w:rFonts w:hint="default" w:hAnsi="宋体"/>
          <w:kern w:val="0"/>
          <w:sz w:val="24"/>
          <w:highlight w:val="none"/>
          <w:lang w:val="en-US" w:eastAsia="zh-CN"/>
        </w:rPr>
      </w:pPr>
      <w:r>
        <w:rPr>
          <w:rFonts w:hint="eastAsia" w:hAnsi="宋体"/>
          <w:kern w:val="0"/>
          <w:sz w:val="24"/>
          <w:highlight w:val="none"/>
          <w:lang w:val="en-US" w:eastAsia="zh-CN"/>
        </w:rPr>
        <w:t>2028年，</w:t>
      </w:r>
      <w:r>
        <w:rPr>
          <w:rFonts w:hint="eastAsia" w:hAnsi="宋体"/>
          <w:kern w:val="0"/>
          <w:sz w:val="24"/>
          <w:highlight w:val="none"/>
          <w:lang w:val="zh-CN" w:eastAsia="zh-CN"/>
        </w:rPr>
        <w:t>单位产品温室气体排放量(t CO2)/吨</w:t>
      </w:r>
      <w:r>
        <w:rPr>
          <w:rFonts w:hint="eastAsia" w:hAnsi="宋体"/>
          <w:kern w:val="0"/>
          <w:sz w:val="24"/>
          <w:highlight w:val="none"/>
          <w:lang w:val="en-US" w:eastAsia="zh-CN"/>
        </w:rPr>
        <w:t>力争降到12以下。</w:t>
      </w:r>
    </w:p>
    <w:tbl>
      <w:tblPr>
        <w:tblStyle w:val="3"/>
        <w:tblW w:w="94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7"/>
        <w:gridCol w:w="1590"/>
        <w:gridCol w:w="1530"/>
        <w:gridCol w:w="1525"/>
      </w:tblGrid>
      <w:tr w14:paraId="7C5C7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7" w:type="dxa"/>
            <w:noWrap w:val="0"/>
            <w:vAlign w:val="bottom"/>
          </w:tcPr>
          <w:p w14:paraId="211DC727">
            <w:pPr>
              <w:autoSpaceDE w:val="0"/>
              <w:autoSpaceDN w:val="0"/>
              <w:adjustRightInd w:val="0"/>
              <w:snapToGrid w:val="0"/>
              <w:spacing w:line="360" w:lineRule="auto"/>
              <w:jc w:val="center"/>
              <w:rPr>
                <w:rFonts w:hint="eastAsia" w:hAnsi="宋体"/>
                <w:kern w:val="0"/>
                <w:sz w:val="24"/>
                <w:lang w:val="zh-CN"/>
              </w:rPr>
            </w:pPr>
          </w:p>
        </w:tc>
        <w:tc>
          <w:tcPr>
            <w:tcW w:w="1590" w:type="dxa"/>
            <w:noWrap w:val="0"/>
            <w:vAlign w:val="center"/>
          </w:tcPr>
          <w:p w14:paraId="1ED2331D">
            <w:pPr>
              <w:autoSpaceDE w:val="0"/>
              <w:autoSpaceDN w:val="0"/>
              <w:adjustRightInd w:val="0"/>
              <w:snapToGrid w:val="0"/>
              <w:spacing w:line="240" w:lineRule="auto"/>
              <w:jc w:val="center"/>
              <w:rPr>
                <w:rFonts w:hint="eastAsia" w:ascii="微软雅黑" w:hAnsi="微软雅黑" w:eastAsia="微软雅黑" w:cs="微软雅黑"/>
                <w:spacing w:val="-2"/>
                <w:sz w:val="24"/>
                <w:szCs w:val="24"/>
                <w:highlight w:val="none"/>
                <w:lang w:val="zh-CN" w:eastAsia="zh-CN"/>
              </w:rPr>
            </w:pPr>
            <w:r>
              <w:rPr>
                <w:rFonts w:hint="eastAsia" w:ascii="微软雅黑" w:hAnsi="微软雅黑" w:eastAsia="微软雅黑" w:cs="微软雅黑"/>
                <w:spacing w:val="-2"/>
                <w:sz w:val="24"/>
                <w:szCs w:val="24"/>
                <w:highlight w:val="none"/>
                <w:lang w:val="zh-CN" w:eastAsia="zh-CN"/>
              </w:rPr>
              <w:t>202</w:t>
            </w:r>
            <w:r>
              <w:rPr>
                <w:rFonts w:hint="eastAsia" w:ascii="微软雅黑" w:hAnsi="微软雅黑" w:eastAsia="微软雅黑" w:cs="微软雅黑"/>
                <w:spacing w:val="-2"/>
                <w:sz w:val="24"/>
                <w:szCs w:val="24"/>
                <w:highlight w:val="none"/>
                <w:lang w:val="en-US" w:eastAsia="zh-CN"/>
              </w:rPr>
              <w:t>3</w:t>
            </w:r>
            <w:r>
              <w:rPr>
                <w:rFonts w:hint="eastAsia" w:ascii="微软雅黑" w:hAnsi="微软雅黑" w:eastAsia="微软雅黑" w:cs="微软雅黑"/>
                <w:spacing w:val="-2"/>
                <w:sz w:val="24"/>
                <w:szCs w:val="24"/>
                <w:highlight w:val="none"/>
                <w:lang w:val="zh-CN" w:eastAsia="zh-CN"/>
              </w:rPr>
              <w:t>年</w:t>
            </w:r>
          </w:p>
        </w:tc>
        <w:tc>
          <w:tcPr>
            <w:tcW w:w="1530" w:type="dxa"/>
            <w:noWrap w:val="0"/>
            <w:vAlign w:val="center"/>
          </w:tcPr>
          <w:p w14:paraId="5B9052B1">
            <w:pPr>
              <w:autoSpaceDE w:val="0"/>
              <w:autoSpaceDN w:val="0"/>
              <w:adjustRightInd w:val="0"/>
              <w:snapToGrid w:val="0"/>
              <w:spacing w:line="240" w:lineRule="auto"/>
              <w:jc w:val="center"/>
              <w:rPr>
                <w:rFonts w:hint="eastAsia" w:ascii="微软雅黑" w:hAnsi="微软雅黑" w:eastAsia="微软雅黑" w:cs="微软雅黑"/>
                <w:spacing w:val="-2"/>
                <w:sz w:val="24"/>
                <w:szCs w:val="24"/>
                <w:highlight w:val="none"/>
                <w:lang w:val="zh-CN" w:eastAsia="zh-CN"/>
              </w:rPr>
            </w:pPr>
            <w:r>
              <w:rPr>
                <w:rFonts w:hint="eastAsia" w:ascii="微软雅黑" w:hAnsi="微软雅黑" w:eastAsia="微软雅黑" w:cs="微软雅黑"/>
                <w:spacing w:val="-2"/>
                <w:sz w:val="24"/>
                <w:szCs w:val="24"/>
                <w:highlight w:val="none"/>
                <w:lang w:val="zh-CN" w:eastAsia="zh-CN"/>
              </w:rPr>
              <w:t>202</w:t>
            </w:r>
            <w:r>
              <w:rPr>
                <w:rFonts w:hint="eastAsia" w:ascii="微软雅黑" w:hAnsi="微软雅黑" w:eastAsia="微软雅黑" w:cs="微软雅黑"/>
                <w:spacing w:val="-2"/>
                <w:sz w:val="24"/>
                <w:szCs w:val="24"/>
                <w:highlight w:val="none"/>
                <w:lang w:val="en-US" w:eastAsia="zh-CN"/>
              </w:rPr>
              <w:t>4</w:t>
            </w:r>
            <w:r>
              <w:rPr>
                <w:rFonts w:hint="eastAsia" w:ascii="微软雅黑" w:hAnsi="微软雅黑" w:eastAsia="微软雅黑" w:cs="微软雅黑"/>
                <w:spacing w:val="-2"/>
                <w:sz w:val="24"/>
                <w:szCs w:val="24"/>
                <w:highlight w:val="none"/>
                <w:lang w:val="zh-CN" w:eastAsia="zh-CN"/>
              </w:rPr>
              <w:t>年</w:t>
            </w:r>
          </w:p>
        </w:tc>
        <w:tc>
          <w:tcPr>
            <w:tcW w:w="1525" w:type="dxa"/>
            <w:noWrap w:val="0"/>
            <w:vAlign w:val="center"/>
          </w:tcPr>
          <w:p w14:paraId="76E45C1A">
            <w:pPr>
              <w:autoSpaceDE w:val="0"/>
              <w:autoSpaceDN w:val="0"/>
              <w:adjustRightInd w:val="0"/>
              <w:snapToGrid w:val="0"/>
              <w:spacing w:line="240" w:lineRule="auto"/>
              <w:jc w:val="center"/>
              <w:rPr>
                <w:rFonts w:hint="default" w:ascii="微软雅黑" w:hAnsi="微软雅黑" w:eastAsia="微软雅黑" w:cs="微软雅黑"/>
                <w:spacing w:val="-2"/>
                <w:sz w:val="24"/>
                <w:szCs w:val="24"/>
                <w:highlight w:val="none"/>
                <w:lang w:val="en-US" w:eastAsia="zh-CN"/>
              </w:rPr>
            </w:pPr>
            <w:r>
              <w:rPr>
                <w:rFonts w:hint="eastAsia" w:ascii="微软雅黑" w:hAnsi="微软雅黑" w:eastAsia="微软雅黑" w:cs="微软雅黑"/>
                <w:spacing w:val="-2"/>
                <w:sz w:val="24"/>
                <w:szCs w:val="24"/>
                <w:highlight w:val="none"/>
                <w:lang w:val="en-US" w:eastAsia="zh-CN"/>
              </w:rPr>
              <w:t>2028年</w:t>
            </w:r>
          </w:p>
        </w:tc>
      </w:tr>
      <w:tr w14:paraId="1733D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4787" w:type="dxa"/>
            <w:noWrap w:val="0"/>
            <w:vAlign w:val="center"/>
          </w:tcPr>
          <w:p w14:paraId="612DF13F">
            <w:pPr>
              <w:autoSpaceDE w:val="0"/>
              <w:autoSpaceDN w:val="0"/>
              <w:adjustRightInd w:val="0"/>
              <w:snapToGrid w:val="0"/>
              <w:spacing w:line="240" w:lineRule="auto"/>
              <w:jc w:val="both"/>
              <w:rPr>
                <w:rFonts w:hint="eastAsia" w:hAnsi="宋体"/>
                <w:kern w:val="0"/>
                <w:sz w:val="24"/>
                <w:lang w:val="zh-CN"/>
              </w:rPr>
            </w:pPr>
            <w:r>
              <w:rPr>
                <w:rFonts w:hint="eastAsia" w:hAnsi="宋体"/>
                <w:kern w:val="0"/>
                <w:sz w:val="24"/>
                <w:lang w:val="zh-CN"/>
              </w:rPr>
              <w:t>单位产品温室气体排放量(t CO</w:t>
            </w:r>
            <w:r>
              <w:rPr>
                <w:rFonts w:hint="eastAsia" w:hAnsi="宋体"/>
                <w:kern w:val="0"/>
                <w:sz w:val="24"/>
                <w:vertAlign w:val="subscript"/>
                <w:lang w:val="zh-CN"/>
              </w:rPr>
              <w:t>2</w:t>
            </w:r>
            <w:r>
              <w:rPr>
                <w:rFonts w:hint="eastAsia" w:hAnsi="宋体"/>
                <w:kern w:val="0"/>
                <w:sz w:val="24"/>
                <w:lang w:val="zh-CN"/>
              </w:rPr>
              <w:t>)/吨</w:t>
            </w:r>
          </w:p>
        </w:tc>
        <w:tc>
          <w:tcPr>
            <w:tcW w:w="1590" w:type="dxa"/>
            <w:noWrap w:val="0"/>
            <w:vAlign w:val="center"/>
          </w:tcPr>
          <w:p w14:paraId="32928D68">
            <w:pPr>
              <w:autoSpaceDE w:val="0"/>
              <w:autoSpaceDN w:val="0"/>
              <w:adjustRightInd w:val="0"/>
              <w:snapToGrid w:val="0"/>
              <w:spacing w:line="240" w:lineRule="auto"/>
              <w:jc w:val="center"/>
              <w:rPr>
                <w:rFonts w:hint="default" w:ascii="微软雅黑" w:hAnsi="微软雅黑" w:eastAsia="微软雅黑" w:cs="微软雅黑"/>
                <w:color w:val="auto"/>
                <w:spacing w:val="-2"/>
                <w:sz w:val="24"/>
                <w:szCs w:val="24"/>
                <w:highlight w:val="none"/>
                <w:lang w:val="en-US" w:eastAsia="zh-CN"/>
              </w:rPr>
            </w:pPr>
            <w:r>
              <w:rPr>
                <w:rFonts w:hint="eastAsia" w:ascii="微软雅黑" w:hAnsi="微软雅黑" w:eastAsia="微软雅黑" w:cs="微软雅黑"/>
                <w:color w:val="auto"/>
                <w:spacing w:val="-2"/>
                <w:sz w:val="24"/>
                <w:szCs w:val="24"/>
                <w:highlight w:val="none"/>
                <w:lang w:val="en-US" w:eastAsia="zh-CN"/>
              </w:rPr>
              <w:t>15.1</w:t>
            </w:r>
          </w:p>
        </w:tc>
        <w:tc>
          <w:tcPr>
            <w:tcW w:w="1530" w:type="dxa"/>
            <w:noWrap w:val="0"/>
            <w:vAlign w:val="center"/>
          </w:tcPr>
          <w:p w14:paraId="7A643E8F">
            <w:pPr>
              <w:autoSpaceDE w:val="0"/>
              <w:autoSpaceDN w:val="0"/>
              <w:adjustRightInd w:val="0"/>
              <w:snapToGrid w:val="0"/>
              <w:spacing w:line="240" w:lineRule="auto"/>
              <w:jc w:val="center"/>
              <w:rPr>
                <w:rFonts w:hint="default" w:hAnsi="宋体"/>
                <w:color w:val="auto"/>
                <w:kern w:val="0"/>
                <w:sz w:val="24"/>
                <w:highlight w:val="none"/>
                <w:lang w:val="en-US" w:eastAsia="zh-CN"/>
              </w:rPr>
            </w:pPr>
            <w:r>
              <w:rPr>
                <w:rFonts w:hint="eastAsia" w:ascii="微软雅黑" w:hAnsi="微软雅黑" w:eastAsia="微软雅黑" w:cs="微软雅黑"/>
                <w:color w:val="auto"/>
                <w:spacing w:val="-2"/>
                <w:sz w:val="24"/>
                <w:szCs w:val="24"/>
                <w:highlight w:val="none"/>
                <w:lang w:val="en-US" w:eastAsia="zh-CN"/>
              </w:rPr>
              <w:t>13.5</w:t>
            </w:r>
          </w:p>
        </w:tc>
        <w:tc>
          <w:tcPr>
            <w:tcW w:w="1525" w:type="dxa"/>
            <w:noWrap w:val="0"/>
            <w:vAlign w:val="center"/>
          </w:tcPr>
          <w:p w14:paraId="7E37773E">
            <w:pPr>
              <w:autoSpaceDE w:val="0"/>
              <w:autoSpaceDN w:val="0"/>
              <w:adjustRightInd w:val="0"/>
              <w:snapToGrid w:val="0"/>
              <w:spacing w:line="240" w:lineRule="auto"/>
              <w:jc w:val="center"/>
              <w:rPr>
                <w:rFonts w:hint="default" w:ascii="微软雅黑" w:hAnsi="微软雅黑" w:eastAsia="微软雅黑" w:cs="微软雅黑"/>
                <w:color w:val="auto"/>
                <w:spacing w:val="-2"/>
                <w:sz w:val="24"/>
                <w:szCs w:val="24"/>
                <w:highlight w:val="none"/>
                <w:lang w:val="en-US" w:eastAsia="zh-CN"/>
              </w:rPr>
            </w:pPr>
            <w:r>
              <w:rPr>
                <w:rFonts w:hint="eastAsia" w:ascii="微软雅黑" w:hAnsi="微软雅黑" w:eastAsia="微软雅黑" w:cs="微软雅黑"/>
                <w:color w:val="auto"/>
                <w:spacing w:val="-2"/>
                <w:sz w:val="24"/>
                <w:szCs w:val="24"/>
                <w:highlight w:val="none"/>
                <w:lang w:val="en-US" w:eastAsia="zh-CN"/>
              </w:rPr>
              <w:t>12</w:t>
            </w:r>
          </w:p>
        </w:tc>
      </w:tr>
      <w:tr w14:paraId="7C45B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4787" w:type="dxa"/>
            <w:noWrap w:val="0"/>
            <w:vAlign w:val="center"/>
          </w:tcPr>
          <w:p w14:paraId="27A90808">
            <w:pPr>
              <w:autoSpaceDE w:val="0"/>
              <w:autoSpaceDN w:val="0"/>
              <w:adjustRightInd w:val="0"/>
              <w:snapToGrid w:val="0"/>
              <w:spacing w:line="240" w:lineRule="auto"/>
              <w:jc w:val="both"/>
              <w:rPr>
                <w:rFonts w:hint="default" w:hAnsi="宋体" w:eastAsia="宋体"/>
                <w:kern w:val="0"/>
                <w:sz w:val="24"/>
                <w:lang w:val="en-US" w:eastAsia="zh-CN"/>
              </w:rPr>
            </w:pPr>
            <w:r>
              <w:rPr>
                <w:rFonts w:hint="eastAsia" w:hAnsi="宋体"/>
                <w:kern w:val="0"/>
                <w:sz w:val="24"/>
                <w:lang w:val="en-US" w:eastAsia="zh-CN"/>
              </w:rPr>
              <w:t>原材料获取阶段</w:t>
            </w:r>
            <w:r>
              <w:rPr>
                <w:rFonts w:ascii="宋体" w:hAnsi="宋体" w:eastAsia="宋体" w:cs="宋体"/>
                <w:sz w:val="24"/>
                <w:szCs w:val="24"/>
              </w:rPr>
              <w:t xml:space="preserve"> </w:t>
            </w:r>
            <w:r>
              <w:rPr>
                <w:rFonts w:hint="eastAsia" w:hAnsi="宋体"/>
                <w:kern w:val="0"/>
                <w:sz w:val="24"/>
                <w:lang w:val="zh-CN"/>
              </w:rPr>
              <w:t>(t CO</w:t>
            </w:r>
            <w:r>
              <w:rPr>
                <w:rFonts w:hint="eastAsia" w:hAnsi="宋体"/>
                <w:kern w:val="0"/>
                <w:sz w:val="24"/>
                <w:vertAlign w:val="subscript"/>
                <w:lang w:val="zh-CN"/>
              </w:rPr>
              <w:t>2</w:t>
            </w:r>
            <w:r>
              <w:rPr>
                <w:rFonts w:hint="eastAsia" w:hAnsi="宋体"/>
                <w:kern w:val="0"/>
                <w:sz w:val="24"/>
                <w:lang w:val="zh-CN"/>
              </w:rPr>
              <w:t>)/吨</w:t>
            </w:r>
          </w:p>
        </w:tc>
        <w:tc>
          <w:tcPr>
            <w:tcW w:w="1590" w:type="dxa"/>
            <w:noWrap w:val="0"/>
            <w:vAlign w:val="center"/>
          </w:tcPr>
          <w:p w14:paraId="190333B7">
            <w:pPr>
              <w:autoSpaceDE w:val="0"/>
              <w:autoSpaceDN w:val="0"/>
              <w:adjustRightInd w:val="0"/>
              <w:snapToGrid w:val="0"/>
              <w:spacing w:line="240" w:lineRule="auto"/>
              <w:jc w:val="center"/>
              <w:rPr>
                <w:rFonts w:hint="default" w:hAnsi="宋体" w:eastAsia="宋体"/>
                <w:color w:val="auto"/>
                <w:kern w:val="0"/>
                <w:sz w:val="24"/>
                <w:highlight w:val="green"/>
                <w:lang w:val="en-US" w:eastAsia="zh-CN"/>
              </w:rPr>
            </w:pPr>
            <w:r>
              <w:rPr>
                <w:rFonts w:hint="eastAsia" w:ascii="微软雅黑" w:hAnsi="微软雅黑" w:eastAsia="微软雅黑" w:cs="微软雅黑"/>
                <w:color w:val="auto"/>
                <w:spacing w:val="-2"/>
                <w:sz w:val="24"/>
                <w:szCs w:val="24"/>
                <w:highlight w:val="none"/>
                <w:lang w:val="en-US" w:eastAsia="zh-CN"/>
              </w:rPr>
              <w:t>14.4</w:t>
            </w:r>
          </w:p>
        </w:tc>
        <w:tc>
          <w:tcPr>
            <w:tcW w:w="1530" w:type="dxa"/>
            <w:noWrap w:val="0"/>
            <w:vAlign w:val="center"/>
          </w:tcPr>
          <w:p w14:paraId="6FE06821">
            <w:pPr>
              <w:autoSpaceDE w:val="0"/>
              <w:autoSpaceDN w:val="0"/>
              <w:adjustRightInd w:val="0"/>
              <w:snapToGrid w:val="0"/>
              <w:spacing w:line="240" w:lineRule="auto"/>
              <w:jc w:val="center"/>
              <w:rPr>
                <w:rFonts w:hint="default" w:hAnsi="宋体" w:eastAsia="宋体"/>
                <w:color w:val="auto"/>
                <w:kern w:val="0"/>
                <w:sz w:val="24"/>
                <w:highlight w:val="green"/>
                <w:lang w:val="en-US" w:eastAsia="zh-CN"/>
              </w:rPr>
            </w:pPr>
            <w:r>
              <w:rPr>
                <w:rFonts w:hint="eastAsia" w:ascii="微软雅黑" w:hAnsi="微软雅黑" w:eastAsia="微软雅黑" w:cs="微软雅黑"/>
                <w:color w:val="auto"/>
                <w:spacing w:val="-2"/>
                <w:sz w:val="24"/>
                <w:szCs w:val="24"/>
                <w:highlight w:val="none"/>
                <w:lang w:val="en-US" w:eastAsia="zh-CN"/>
              </w:rPr>
              <w:t>12.9</w:t>
            </w:r>
          </w:p>
        </w:tc>
        <w:tc>
          <w:tcPr>
            <w:tcW w:w="1525" w:type="dxa"/>
            <w:noWrap w:val="0"/>
            <w:vAlign w:val="center"/>
          </w:tcPr>
          <w:p w14:paraId="52C24A91">
            <w:pPr>
              <w:autoSpaceDE w:val="0"/>
              <w:autoSpaceDN w:val="0"/>
              <w:adjustRightInd w:val="0"/>
              <w:snapToGrid w:val="0"/>
              <w:spacing w:line="240" w:lineRule="auto"/>
              <w:jc w:val="center"/>
              <w:rPr>
                <w:rFonts w:hint="default" w:ascii="微软雅黑" w:hAnsi="微软雅黑" w:eastAsia="微软雅黑" w:cs="微软雅黑"/>
                <w:color w:val="auto"/>
                <w:spacing w:val="-2"/>
                <w:sz w:val="24"/>
                <w:szCs w:val="24"/>
                <w:highlight w:val="none"/>
                <w:lang w:val="en-US" w:eastAsia="zh-CN"/>
              </w:rPr>
            </w:pPr>
            <w:r>
              <w:rPr>
                <w:rFonts w:hint="eastAsia" w:ascii="微软雅黑" w:hAnsi="微软雅黑" w:eastAsia="微软雅黑" w:cs="微软雅黑"/>
                <w:color w:val="auto"/>
                <w:spacing w:val="-2"/>
                <w:sz w:val="24"/>
                <w:szCs w:val="24"/>
                <w:highlight w:val="none"/>
                <w:lang w:val="en-US" w:eastAsia="zh-CN"/>
              </w:rPr>
              <w:t>11.4</w:t>
            </w:r>
          </w:p>
        </w:tc>
      </w:tr>
      <w:tr w14:paraId="50249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4787" w:type="dxa"/>
            <w:noWrap w:val="0"/>
            <w:vAlign w:val="center"/>
          </w:tcPr>
          <w:p w14:paraId="2F08AA10">
            <w:pPr>
              <w:autoSpaceDE w:val="0"/>
              <w:autoSpaceDN w:val="0"/>
              <w:adjustRightInd w:val="0"/>
              <w:snapToGrid w:val="0"/>
              <w:spacing w:line="240" w:lineRule="auto"/>
              <w:jc w:val="both"/>
              <w:rPr>
                <w:rFonts w:hint="eastAsia" w:hAnsi="宋体"/>
                <w:kern w:val="0"/>
                <w:sz w:val="24"/>
                <w:lang w:val="zh-CN"/>
              </w:rPr>
            </w:pPr>
            <w:r>
              <w:rPr>
                <w:rFonts w:hint="eastAsia" w:ascii="宋体" w:hAnsi="宋体" w:cs="宋体"/>
                <w:sz w:val="24"/>
                <w:szCs w:val="24"/>
                <w:lang w:val="en-US" w:eastAsia="zh-CN"/>
              </w:rPr>
              <w:t>生产制造阶段</w:t>
            </w:r>
            <w:r>
              <w:rPr>
                <w:rFonts w:ascii="宋体" w:hAnsi="宋体" w:eastAsia="宋体" w:cs="宋体"/>
                <w:sz w:val="24"/>
                <w:szCs w:val="24"/>
              </w:rPr>
              <w:t xml:space="preserve"> </w:t>
            </w:r>
            <w:r>
              <w:rPr>
                <w:rFonts w:hint="eastAsia" w:hAnsi="宋体"/>
                <w:kern w:val="0"/>
                <w:sz w:val="24"/>
                <w:lang w:val="zh-CN"/>
              </w:rPr>
              <w:t>(t CO</w:t>
            </w:r>
            <w:r>
              <w:rPr>
                <w:rFonts w:hint="eastAsia" w:hAnsi="宋体"/>
                <w:kern w:val="0"/>
                <w:sz w:val="24"/>
                <w:vertAlign w:val="subscript"/>
                <w:lang w:val="zh-CN"/>
              </w:rPr>
              <w:t>2</w:t>
            </w:r>
            <w:r>
              <w:rPr>
                <w:rFonts w:hint="eastAsia" w:hAnsi="宋体"/>
                <w:kern w:val="0"/>
                <w:sz w:val="24"/>
                <w:lang w:val="zh-CN"/>
              </w:rPr>
              <w:t>)/吨</w:t>
            </w:r>
          </w:p>
        </w:tc>
        <w:tc>
          <w:tcPr>
            <w:tcW w:w="1590" w:type="dxa"/>
            <w:shd w:val="clear" w:color="auto" w:fill="auto"/>
            <w:noWrap w:val="0"/>
            <w:vAlign w:val="center"/>
          </w:tcPr>
          <w:p w14:paraId="69BE6D75">
            <w:pPr>
              <w:autoSpaceDE w:val="0"/>
              <w:autoSpaceDN w:val="0"/>
              <w:adjustRightInd w:val="0"/>
              <w:snapToGrid w:val="0"/>
              <w:spacing w:line="240" w:lineRule="auto"/>
              <w:jc w:val="center"/>
              <w:rPr>
                <w:rFonts w:hint="default" w:ascii="Calibri" w:hAnsi="宋体" w:eastAsia="宋体" w:cs="Times New Roman"/>
                <w:color w:val="auto"/>
                <w:kern w:val="0"/>
                <w:sz w:val="24"/>
                <w:szCs w:val="24"/>
                <w:highlight w:val="green"/>
                <w:lang w:val="en-US" w:eastAsia="zh-CN" w:bidi="ar-SA"/>
              </w:rPr>
            </w:pPr>
            <w:r>
              <w:rPr>
                <w:rFonts w:hint="eastAsia" w:ascii="微软雅黑" w:hAnsi="微软雅黑" w:eastAsia="微软雅黑" w:cs="微软雅黑"/>
                <w:color w:val="auto"/>
                <w:spacing w:val="-2"/>
                <w:sz w:val="24"/>
                <w:szCs w:val="24"/>
                <w:highlight w:val="none"/>
                <w:lang w:val="en-US" w:eastAsia="zh-CN"/>
              </w:rPr>
              <w:t>0.723</w:t>
            </w:r>
          </w:p>
        </w:tc>
        <w:tc>
          <w:tcPr>
            <w:tcW w:w="1530" w:type="dxa"/>
            <w:shd w:val="clear" w:color="auto" w:fill="auto"/>
            <w:noWrap w:val="0"/>
            <w:vAlign w:val="center"/>
          </w:tcPr>
          <w:p w14:paraId="20EC4723">
            <w:pPr>
              <w:autoSpaceDE w:val="0"/>
              <w:autoSpaceDN w:val="0"/>
              <w:adjustRightInd w:val="0"/>
              <w:snapToGrid w:val="0"/>
              <w:spacing w:line="240" w:lineRule="auto"/>
              <w:jc w:val="center"/>
              <w:rPr>
                <w:rFonts w:hint="default" w:ascii="Calibri" w:hAnsi="宋体" w:eastAsia="宋体" w:cs="Times New Roman"/>
                <w:color w:val="auto"/>
                <w:kern w:val="0"/>
                <w:sz w:val="24"/>
                <w:szCs w:val="24"/>
                <w:highlight w:val="green"/>
                <w:lang w:val="en-US" w:eastAsia="zh-CN" w:bidi="ar-SA"/>
              </w:rPr>
            </w:pPr>
            <w:r>
              <w:rPr>
                <w:rFonts w:hint="eastAsia" w:ascii="微软雅黑" w:hAnsi="微软雅黑" w:eastAsia="微软雅黑" w:cs="微软雅黑"/>
                <w:color w:val="auto"/>
                <w:spacing w:val="-2"/>
                <w:sz w:val="24"/>
                <w:szCs w:val="24"/>
                <w:highlight w:val="none"/>
                <w:lang w:val="en-US" w:eastAsia="zh-CN"/>
              </w:rPr>
              <w:t>0.709</w:t>
            </w:r>
          </w:p>
        </w:tc>
        <w:tc>
          <w:tcPr>
            <w:tcW w:w="1525" w:type="dxa"/>
            <w:shd w:val="clear" w:color="auto" w:fill="auto"/>
            <w:noWrap w:val="0"/>
            <w:vAlign w:val="center"/>
          </w:tcPr>
          <w:p w14:paraId="16740CFC">
            <w:pPr>
              <w:autoSpaceDE w:val="0"/>
              <w:autoSpaceDN w:val="0"/>
              <w:adjustRightInd w:val="0"/>
              <w:snapToGrid w:val="0"/>
              <w:spacing w:line="240" w:lineRule="auto"/>
              <w:jc w:val="center"/>
              <w:rPr>
                <w:rFonts w:hint="default" w:ascii="微软雅黑" w:hAnsi="微软雅黑" w:eastAsia="微软雅黑" w:cs="微软雅黑"/>
                <w:color w:val="auto"/>
                <w:spacing w:val="-2"/>
                <w:kern w:val="2"/>
                <w:sz w:val="24"/>
                <w:szCs w:val="24"/>
                <w:highlight w:val="none"/>
                <w:lang w:val="en-US" w:eastAsia="zh-CN" w:bidi="ar-SA"/>
              </w:rPr>
            </w:pPr>
            <w:r>
              <w:rPr>
                <w:rFonts w:hint="eastAsia" w:ascii="微软雅黑" w:hAnsi="微软雅黑" w:eastAsia="微软雅黑" w:cs="微软雅黑"/>
                <w:color w:val="auto"/>
                <w:spacing w:val="-2"/>
                <w:sz w:val="24"/>
                <w:szCs w:val="24"/>
                <w:highlight w:val="none"/>
                <w:lang w:val="en-US" w:eastAsia="zh-CN"/>
              </w:rPr>
              <w:t>0.60</w:t>
            </w:r>
          </w:p>
        </w:tc>
      </w:tr>
    </w:tbl>
    <w:p w14:paraId="79CE7D18">
      <w:pPr>
        <w:autoSpaceDE w:val="0"/>
        <w:autoSpaceDN w:val="0"/>
        <w:adjustRightInd w:val="0"/>
        <w:snapToGrid w:val="0"/>
        <w:spacing w:line="360" w:lineRule="auto"/>
        <w:rPr>
          <w:rFonts w:hint="default" w:hAnsi="宋体" w:eastAsia="宋体"/>
          <w:kern w:val="0"/>
          <w:sz w:val="24"/>
          <w:lang w:val="en-US" w:eastAsia="zh-CN"/>
        </w:rPr>
      </w:pPr>
    </w:p>
    <w:p w14:paraId="048B1933">
      <w:pPr>
        <w:autoSpaceDE w:val="0"/>
        <w:autoSpaceDN w:val="0"/>
        <w:adjustRightInd w:val="0"/>
        <w:snapToGrid w:val="0"/>
        <w:spacing w:line="360" w:lineRule="auto"/>
        <w:rPr>
          <w:rFonts w:hint="default" w:hAnsi="宋体" w:eastAsia="宋体"/>
          <w:kern w:val="0"/>
          <w:sz w:val="24"/>
          <w:lang w:val="en-US" w:eastAsia="zh-CN"/>
        </w:rPr>
      </w:pPr>
    </w:p>
    <w:p w14:paraId="661D9DA7">
      <w:pPr>
        <w:autoSpaceDE w:val="0"/>
        <w:autoSpaceDN w:val="0"/>
        <w:adjustRightInd w:val="0"/>
        <w:snapToGrid w:val="0"/>
        <w:spacing w:line="360" w:lineRule="auto"/>
        <w:rPr>
          <w:rFonts w:hint="default" w:hAnsi="宋体" w:eastAsia="宋体"/>
          <w:kern w:val="0"/>
          <w:sz w:val="24"/>
          <w:lang w:val="en-US" w:eastAsia="zh-CN"/>
        </w:rPr>
      </w:pPr>
      <w:bookmarkStart w:id="0" w:name="_GoBack"/>
      <w:bookmarkEnd w:id="0"/>
    </w:p>
    <w:p w14:paraId="5D03276F">
      <w:pPr>
        <w:snapToGrid w:val="0"/>
        <w:spacing w:line="360" w:lineRule="auto"/>
        <w:rPr>
          <w:rFonts w:hint="eastAsia"/>
          <w:b/>
          <w:sz w:val="24"/>
        </w:rPr>
      </w:pPr>
      <w:r>
        <w:rPr>
          <w:rFonts w:hAnsi="宋体"/>
          <w:b/>
          <w:sz w:val="24"/>
        </w:rPr>
        <w:t>三、实施措施</w:t>
      </w:r>
      <w:r>
        <w:rPr>
          <w:rFonts w:hint="eastAsia" w:hAnsi="宋体"/>
          <w:b/>
          <w:sz w:val="24"/>
        </w:rPr>
        <w:t>方案</w:t>
      </w:r>
    </w:p>
    <w:p w14:paraId="1D2B2CF6">
      <w:pPr>
        <w:snapToGrid w:val="0"/>
        <w:spacing w:line="360" w:lineRule="auto"/>
        <w:ind w:firstLine="482" w:firstLineChars="200"/>
        <w:rPr>
          <w:rFonts w:hAnsi="宋体"/>
          <w:b/>
          <w:sz w:val="24"/>
        </w:rPr>
      </w:pPr>
      <w:r>
        <w:rPr>
          <w:b/>
          <w:sz w:val="24"/>
        </w:rPr>
        <w:t>(</w:t>
      </w:r>
      <w:r>
        <w:rPr>
          <w:rFonts w:hAnsi="宋体"/>
          <w:b/>
          <w:sz w:val="24"/>
        </w:rPr>
        <w:t>一</w:t>
      </w:r>
      <w:r>
        <w:rPr>
          <w:b/>
          <w:sz w:val="24"/>
        </w:rPr>
        <w:t>)</w:t>
      </w:r>
      <w:r>
        <w:rPr>
          <w:rFonts w:hAnsi="宋体"/>
          <w:b/>
          <w:sz w:val="24"/>
        </w:rPr>
        <w:t>切实做好节约</w:t>
      </w:r>
      <w:r>
        <w:rPr>
          <w:rFonts w:hint="eastAsia" w:hAnsi="宋体"/>
          <w:b/>
          <w:sz w:val="24"/>
          <w:lang w:eastAsia="zh-CN"/>
        </w:rPr>
        <w:t>能源</w:t>
      </w:r>
      <w:r>
        <w:rPr>
          <w:rFonts w:hAnsi="宋体"/>
          <w:b/>
          <w:sz w:val="24"/>
        </w:rPr>
        <w:t>工作</w:t>
      </w:r>
    </w:p>
    <w:p w14:paraId="39F04A08">
      <w:pPr>
        <w:snapToGrid w:val="0"/>
        <w:spacing w:line="360" w:lineRule="auto"/>
        <w:ind w:firstLine="470" w:firstLineChars="196"/>
        <w:rPr>
          <w:rFonts w:hint="eastAsia"/>
          <w:sz w:val="24"/>
          <w:lang w:val="zh-CN"/>
        </w:rPr>
      </w:pPr>
      <w:r>
        <w:rPr>
          <w:rFonts w:hint="eastAsia"/>
          <w:sz w:val="24"/>
          <w:lang w:val="zh-CN"/>
        </w:rPr>
        <w:t>1、切实做好工艺减碳工作</w:t>
      </w:r>
    </w:p>
    <w:p w14:paraId="6EA43E70">
      <w:pPr>
        <w:snapToGrid w:val="0"/>
        <w:spacing w:line="360" w:lineRule="auto"/>
        <w:ind w:firstLine="470" w:firstLineChars="196"/>
        <w:rPr>
          <w:rFonts w:hint="eastAsia"/>
          <w:sz w:val="24"/>
          <w:lang w:val="zh-CN"/>
        </w:rPr>
      </w:pPr>
      <w:r>
        <w:rPr>
          <w:rFonts w:hint="eastAsia"/>
          <w:sz w:val="24"/>
          <w:lang w:val="zh-CN"/>
        </w:rPr>
        <w:t>(1) 严格原材料管理。公司</w:t>
      </w:r>
      <w:r>
        <w:rPr>
          <w:rFonts w:hint="eastAsia"/>
          <w:sz w:val="24"/>
          <w:lang w:val="en-US" w:eastAsia="zh-CN"/>
        </w:rPr>
        <w:t>加大采购</w:t>
      </w:r>
      <w:r>
        <w:rPr>
          <w:rFonts w:ascii="宋体" w:hAnsi="宋体" w:eastAsia="宋体" w:cs="宋体"/>
          <w:sz w:val="24"/>
          <w:szCs w:val="24"/>
        </w:rPr>
        <w:t>碳排值低的绿色铝锭来冲抵原铝的使用，进而降低二氧化碳的排放</w:t>
      </w:r>
      <w:r>
        <w:rPr>
          <w:rFonts w:hint="eastAsia"/>
          <w:sz w:val="24"/>
          <w:lang w:val="zh-CN"/>
        </w:rPr>
        <w:t>，将供应商的碳足迹报告，作为供应商入库和年度管理考核的依据之一。</w:t>
      </w:r>
    </w:p>
    <w:p w14:paraId="506B2FB4">
      <w:pPr>
        <w:snapToGrid w:val="0"/>
        <w:spacing w:line="360" w:lineRule="auto"/>
        <w:rPr>
          <w:rFonts w:hint="eastAsia"/>
          <w:sz w:val="24"/>
          <w:lang w:val="zh-CN"/>
        </w:rPr>
      </w:pPr>
      <w:r>
        <w:drawing>
          <wp:inline distT="0" distB="0" distL="114300" distR="114300">
            <wp:extent cx="5939155" cy="2065020"/>
            <wp:effectExtent l="0" t="0" r="4445"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5939155" cy="2065020"/>
                    </a:xfrm>
                    <a:prstGeom prst="rect">
                      <a:avLst/>
                    </a:prstGeom>
                    <a:noFill/>
                    <a:ln>
                      <a:noFill/>
                    </a:ln>
                  </pic:spPr>
                </pic:pic>
              </a:graphicData>
            </a:graphic>
          </wp:inline>
        </w:drawing>
      </w:r>
    </w:p>
    <w:p w14:paraId="5659474C">
      <w:pPr>
        <w:snapToGrid w:val="0"/>
        <w:spacing w:line="360" w:lineRule="auto"/>
        <w:ind w:firstLine="470" w:firstLineChars="196"/>
        <w:rPr>
          <w:rFonts w:hint="eastAsia"/>
          <w:sz w:val="24"/>
          <w:lang w:val="zh-CN"/>
        </w:rPr>
      </w:pPr>
      <w:r>
        <w:rPr>
          <w:rFonts w:hint="eastAsia"/>
          <w:sz w:val="24"/>
          <w:lang w:val="zh-CN"/>
        </w:rPr>
        <w:t>(2) 强化生产工艺管控，</w:t>
      </w:r>
      <w:r>
        <w:rPr>
          <w:rFonts w:hint="eastAsia"/>
          <w:sz w:val="24"/>
          <w:lang w:val="en-US" w:eastAsia="zh-CN"/>
        </w:rPr>
        <w:t>熔铸控制装炉量、点火时间、停机立板时间、次数、工艺废料量；冷轧不断优化退火工艺、进出炉时间，冷轧错峰生产等进一步降低天然气、电力的消耗</w:t>
      </w:r>
      <w:r>
        <w:rPr>
          <w:rFonts w:hint="eastAsia"/>
          <w:sz w:val="24"/>
          <w:lang w:val="zh-CN"/>
        </w:rPr>
        <w:t>。</w:t>
      </w:r>
    </w:p>
    <w:p w14:paraId="5E000C4D">
      <w:pPr>
        <w:snapToGrid w:val="0"/>
        <w:spacing w:line="360" w:lineRule="auto"/>
        <w:ind w:firstLine="470" w:firstLineChars="196"/>
        <w:rPr>
          <w:rFonts w:hint="eastAsia"/>
          <w:sz w:val="24"/>
          <w:lang w:val="zh-CN"/>
        </w:rPr>
      </w:pPr>
      <w:r>
        <w:rPr>
          <w:rFonts w:hint="eastAsia"/>
          <w:sz w:val="24"/>
          <w:lang w:val="zh-CN"/>
        </w:rPr>
        <w:t>(3) 调整产品结构，助力中国“3060”双碳战略。通过加强供应合格且低碳的绿色产品的形式，助力下游清洁能源产业发展。</w:t>
      </w:r>
    </w:p>
    <w:p w14:paraId="72595FAE">
      <w:pPr>
        <w:snapToGrid w:val="0"/>
        <w:spacing w:line="360" w:lineRule="auto"/>
        <w:ind w:firstLine="470" w:firstLineChars="196"/>
        <w:rPr>
          <w:rFonts w:hint="eastAsia"/>
          <w:sz w:val="24"/>
          <w:lang w:val="zh-CN"/>
        </w:rPr>
      </w:pPr>
      <w:r>
        <w:rPr>
          <w:rFonts w:hint="eastAsia"/>
          <w:sz w:val="24"/>
          <w:lang w:val="zh-CN"/>
        </w:rPr>
        <w:t>(4) 提高清洁能源使用比例。优化能源消费结构，努力提高清洁能源使用比例是公司推动能源体系绿色低碳转型的重要手段。公司考虑计划并实施屋顶光伏项目。</w:t>
      </w:r>
    </w:p>
    <w:p w14:paraId="0DE17D23">
      <w:pPr>
        <w:snapToGrid w:val="0"/>
        <w:spacing w:line="360" w:lineRule="auto"/>
        <w:ind w:firstLine="470" w:firstLineChars="196"/>
        <w:rPr>
          <w:rFonts w:hint="eastAsia"/>
          <w:sz w:val="24"/>
          <w:lang w:val="zh-CN"/>
        </w:rPr>
      </w:pPr>
      <w:r>
        <w:rPr>
          <w:rFonts w:hint="eastAsia"/>
          <w:sz w:val="24"/>
          <w:lang w:val="zh-CN"/>
        </w:rPr>
        <w:t>2、切实做好辅助设施节约用电工作</w:t>
      </w:r>
    </w:p>
    <w:p w14:paraId="57824599">
      <w:pPr>
        <w:snapToGrid w:val="0"/>
        <w:spacing w:line="360" w:lineRule="auto"/>
        <w:ind w:firstLine="470" w:firstLineChars="196"/>
        <w:rPr>
          <w:rFonts w:hint="eastAsia"/>
          <w:sz w:val="24"/>
          <w:lang w:val="zh-CN"/>
        </w:rPr>
      </w:pPr>
      <w:r>
        <w:rPr>
          <w:rFonts w:hint="eastAsia"/>
          <w:sz w:val="24"/>
          <w:lang w:val="zh-CN"/>
        </w:rPr>
        <w:t>(1) 抓好照明节电。</w:t>
      </w:r>
    </w:p>
    <w:p w14:paraId="0AFC0473">
      <w:pPr>
        <w:snapToGrid w:val="0"/>
        <w:spacing w:line="360" w:lineRule="auto"/>
        <w:ind w:firstLine="470" w:firstLineChars="196"/>
        <w:rPr>
          <w:rFonts w:hint="eastAsia"/>
          <w:sz w:val="24"/>
          <w:lang w:val="zh-CN"/>
        </w:rPr>
      </w:pPr>
      <w:r>
        <w:rPr>
          <w:rFonts w:hint="eastAsia"/>
          <w:sz w:val="24"/>
          <w:lang w:val="zh-CN"/>
        </w:rPr>
        <w:t>(2) 抓好办公及其他办公设备节电。</w:t>
      </w:r>
    </w:p>
    <w:p w14:paraId="41CA2261">
      <w:pPr>
        <w:snapToGrid w:val="0"/>
        <w:spacing w:line="360" w:lineRule="auto"/>
        <w:ind w:firstLine="470" w:firstLineChars="196"/>
        <w:rPr>
          <w:rFonts w:hint="eastAsia"/>
          <w:sz w:val="24"/>
          <w:lang w:val="zh-CN"/>
        </w:rPr>
      </w:pPr>
      <w:r>
        <w:rPr>
          <w:rFonts w:hint="eastAsia"/>
          <w:sz w:val="24"/>
          <w:lang w:val="zh-CN"/>
        </w:rPr>
        <w:t>(3) 完善分项计量，准确统计用电</w:t>
      </w:r>
    </w:p>
    <w:p w14:paraId="76D7A162">
      <w:pPr>
        <w:snapToGrid w:val="0"/>
        <w:spacing w:line="360" w:lineRule="auto"/>
        <w:ind w:firstLine="470" w:firstLineChars="196"/>
        <w:rPr>
          <w:rFonts w:hint="eastAsia"/>
          <w:sz w:val="24"/>
          <w:lang w:val="zh-CN"/>
        </w:rPr>
      </w:pPr>
      <w:r>
        <w:rPr>
          <w:rFonts w:hint="eastAsia"/>
          <w:sz w:val="24"/>
          <w:lang w:val="zh-CN"/>
        </w:rPr>
        <w:t>3、采用节能型设备</w:t>
      </w:r>
    </w:p>
    <w:p w14:paraId="4CBB1F04">
      <w:pPr>
        <w:snapToGrid w:val="0"/>
        <w:spacing w:line="360" w:lineRule="auto"/>
        <w:ind w:firstLine="470" w:firstLineChars="196"/>
        <w:rPr>
          <w:rFonts w:hint="eastAsia"/>
          <w:sz w:val="24"/>
          <w:lang w:val="zh-CN"/>
        </w:rPr>
      </w:pPr>
      <w:r>
        <w:rPr>
          <w:rFonts w:hint="eastAsia"/>
          <w:sz w:val="24"/>
          <w:lang w:val="zh-CN"/>
        </w:rPr>
        <w:t>采用低损耗新型变压器，优化变压器的运行方式，应用高效电机，采用变频调速、斩波内馈调速节能技术提高用电效率，采用动态无功补偿技术，提高系统功率因数，抑制谐波。</w:t>
      </w:r>
    </w:p>
    <w:p w14:paraId="46CF3D75">
      <w:pPr>
        <w:snapToGrid w:val="0"/>
        <w:spacing w:line="360" w:lineRule="auto"/>
        <w:ind w:firstLine="472" w:firstLineChars="196"/>
        <w:rPr>
          <w:b/>
          <w:sz w:val="24"/>
        </w:rPr>
      </w:pPr>
      <w:r>
        <w:rPr>
          <w:b/>
          <w:sz w:val="24"/>
        </w:rPr>
        <w:t>(</w:t>
      </w:r>
      <w:r>
        <w:rPr>
          <w:rFonts w:hAnsi="宋体"/>
          <w:b/>
          <w:sz w:val="24"/>
        </w:rPr>
        <w:t>二</w:t>
      </w:r>
      <w:r>
        <w:rPr>
          <w:b/>
          <w:sz w:val="24"/>
        </w:rPr>
        <w:t>)</w:t>
      </w:r>
      <w:r>
        <w:rPr>
          <w:rFonts w:hAnsi="宋体"/>
          <w:b/>
          <w:sz w:val="24"/>
        </w:rPr>
        <w:t>加强节约</w:t>
      </w:r>
      <w:r>
        <w:rPr>
          <w:rFonts w:hint="eastAsia" w:hAnsi="宋体"/>
          <w:b/>
          <w:sz w:val="24"/>
        </w:rPr>
        <w:t>天然气</w:t>
      </w:r>
      <w:r>
        <w:rPr>
          <w:rFonts w:hAnsi="宋体"/>
          <w:b/>
          <w:sz w:val="24"/>
        </w:rPr>
        <w:t>管理</w:t>
      </w:r>
    </w:p>
    <w:p w14:paraId="5F5BB26F">
      <w:pPr>
        <w:snapToGrid w:val="0"/>
        <w:spacing w:line="360" w:lineRule="auto"/>
        <w:ind w:firstLine="600" w:firstLineChars="250"/>
        <w:rPr>
          <w:rFonts w:hint="eastAsia" w:hAnsi="宋体"/>
          <w:kern w:val="0"/>
          <w:sz w:val="24"/>
          <w:lang w:val="zh-CN"/>
        </w:rPr>
      </w:pPr>
      <w:r>
        <w:rPr>
          <w:kern w:val="0"/>
          <w:sz w:val="24"/>
          <w:lang w:val="zh-CN"/>
        </w:rPr>
        <w:t>1</w:t>
      </w:r>
      <w:r>
        <w:rPr>
          <w:rFonts w:hAnsi="宋体"/>
          <w:kern w:val="0"/>
          <w:sz w:val="24"/>
          <w:lang w:val="zh-CN"/>
        </w:rPr>
        <w:t>、加强</w:t>
      </w:r>
      <w:r>
        <w:rPr>
          <w:rFonts w:hint="eastAsia" w:hAnsi="宋体"/>
          <w:kern w:val="0"/>
          <w:sz w:val="24"/>
          <w:lang w:val="zh-CN"/>
        </w:rPr>
        <w:t>天然气</w:t>
      </w:r>
      <w:r>
        <w:rPr>
          <w:rFonts w:hAnsi="宋体"/>
          <w:kern w:val="0"/>
          <w:sz w:val="24"/>
          <w:lang w:val="zh-CN"/>
        </w:rPr>
        <w:t>管网</w:t>
      </w:r>
      <w:r>
        <w:rPr>
          <w:rFonts w:hint="eastAsia" w:hAnsi="宋体"/>
          <w:kern w:val="0"/>
          <w:sz w:val="24"/>
          <w:lang w:val="zh-CN"/>
        </w:rPr>
        <w:t>道</w:t>
      </w:r>
      <w:r>
        <w:rPr>
          <w:rFonts w:hAnsi="宋体"/>
          <w:kern w:val="0"/>
          <w:sz w:val="24"/>
          <w:lang w:val="zh-CN"/>
        </w:rPr>
        <w:t>设备检查、维护和整治</w:t>
      </w:r>
      <w:r>
        <w:rPr>
          <w:rFonts w:hint="eastAsia" w:hAnsi="宋体"/>
          <w:kern w:val="0"/>
          <w:sz w:val="24"/>
          <w:lang w:val="zh-CN"/>
        </w:rPr>
        <w:t>。</w:t>
      </w:r>
    </w:p>
    <w:p w14:paraId="625972B2">
      <w:pPr>
        <w:snapToGrid w:val="0"/>
        <w:spacing w:line="360" w:lineRule="auto"/>
        <w:ind w:firstLine="600" w:firstLineChars="250"/>
        <w:rPr>
          <w:kern w:val="0"/>
          <w:sz w:val="24"/>
          <w:lang w:val="zh-CN"/>
        </w:rPr>
      </w:pPr>
      <w:r>
        <w:rPr>
          <w:rFonts w:hint="eastAsia" w:hAnsi="宋体"/>
          <w:kern w:val="0"/>
          <w:sz w:val="24"/>
          <w:lang w:val="zh-CN"/>
        </w:rPr>
        <w:t>设备部</w:t>
      </w:r>
      <w:r>
        <w:rPr>
          <w:rFonts w:hAnsi="宋体"/>
          <w:kern w:val="0"/>
          <w:sz w:val="24"/>
          <w:lang w:val="zh-CN"/>
        </w:rPr>
        <w:t>要每星期</w:t>
      </w:r>
      <w:r>
        <w:rPr>
          <w:rFonts w:hAnsi="宋体"/>
          <w:color w:val="000000"/>
          <w:sz w:val="24"/>
        </w:rPr>
        <w:t>定期</w:t>
      </w:r>
      <w:r>
        <w:rPr>
          <w:rFonts w:hAnsi="宋体"/>
          <w:sz w:val="24"/>
        </w:rPr>
        <w:t>巡视、</w:t>
      </w:r>
      <w:r>
        <w:rPr>
          <w:rFonts w:hAnsi="宋体"/>
          <w:color w:val="000000"/>
          <w:sz w:val="24"/>
        </w:rPr>
        <w:t>检查</w:t>
      </w:r>
      <w:r>
        <w:rPr>
          <w:rFonts w:hAnsi="宋体"/>
          <w:sz w:val="24"/>
        </w:rPr>
        <w:t>、</w:t>
      </w:r>
      <w:r>
        <w:rPr>
          <w:rFonts w:hAnsi="宋体"/>
          <w:color w:val="000000"/>
          <w:sz w:val="24"/>
        </w:rPr>
        <w:t>更换老化的供</w:t>
      </w:r>
      <w:r>
        <w:rPr>
          <w:rFonts w:hint="eastAsia" w:hAnsi="宋体"/>
          <w:color w:val="000000"/>
          <w:sz w:val="24"/>
        </w:rPr>
        <w:t>汽</w:t>
      </w:r>
      <w:r>
        <w:rPr>
          <w:rFonts w:hAnsi="宋体"/>
          <w:color w:val="000000"/>
          <w:sz w:val="24"/>
        </w:rPr>
        <w:t>管线和设备</w:t>
      </w:r>
      <w:r>
        <w:rPr>
          <w:rFonts w:hAnsi="宋体"/>
          <w:sz w:val="24"/>
        </w:rPr>
        <w:t>，</w:t>
      </w:r>
      <w:r>
        <w:rPr>
          <w:rFonts w:hAnsi="宋体"/>
          <w:kern w:val="0"/>
          <w:sz w:val="24"/>
          <w:lang w:val="zh-CN"/>
        </w:rPr>
        <w:t>严禁跑冒滴漏现象，确保</w:t>
      </w:r>
      <w:r>
        <w:rPr>
          <w:rFonts w:hint="eastAsia" w:hAnsi="宋体"/>
          <w:kern w:val="0"/>
          <w:sz w:val="24"/>
          <w:lang w:val="zh-CN"/>
        </w:rPr>
        <w:t>天然气管道及</w:t>
      </w:r>
      <w:r>
        <w:rPr>
          <w:rFonts w:hAnsi="宋体"/>
          <w:kern w:val="0"/>
          <w:sz w:val="24"/>
          <w:lang w:val="zh-CN"/>
        </w:rPr>
        <w:t>设备完好。</w:t>
      </w:r>
    </w:p>
    <w:p w14:paraId="15635A38">
      <w:pPr>
        <w:snapToGrid w:val="0"/>
        <w:spacing w:line="360" w:lineRule="auto"/>
        <w:ind w:firstLine="600" w:firstLineChars="250"/>
        <w:rPr>
          <w:rFonts w:hint="eastAsia" w:hAnsi="宋体"/>
          <w:kern w:val="0"/>
          <w:sz w:val="24"/>
          <w:lang w:val="zh-CN"/>
        </w:rPr>
      </w:pPr>
      <w:r>
        <w:rPr>
          <w:kern w:val="0"/>
          <w:sz w:val="24"/>
          <w:lang w:val="zh-CN"/>
        </w:rPr>
        <w:t>2</w:t>
      </w:r>
      <w:r>
        <w:rPr>
          <w:rFonts w:hAnsi="宋体"/>
          <w:kern w:val="0"/>
          <w:sz w:val="24"/>
          <w:lang w:val="zh-CN"/>
        </w:rPr>
        <w:t>、养成良好的用</w:t>
      </w:r>
      <w:r>
        <w:rPr>
          <w:rFonts w:hint="eastAsia" w:hAnsi="宋体"/>
          <w:kern w:val="0"/>
          <w:sz w:val="24"/>
          <w:lang w:val="zh-CN"/>
        </w:rPr>
        <w:t>气</w:t>
      </w:r>
      <w:r>
        <w:rPr>
          <w:rFonts w:hAnsi="宋体"/>
          <w:kern w:val="0"/>
          <w:sz w:val="24"/>
          <w:lang w:val="zh-CN"/>
        </w:rPr>
        <w:t>习惯</w:t>
      </w:r>
      <w:r>
        <w:rPr>
          <w:rFonts w:hint="eastAsia" w:hAnsi="宋体"/>
          <w:kern w:val="0"/>
          <w:sz w:val="24"/>
          <w:lang w:val="zh-CN"/>
        </w:rPr>
        <w:t>。</w:t>
      </w:r>
    </w:p>
    <w:p w14:paraId="44E86AD2">
      <w:pPr>
        <w:snapToGrid w:val="0"/>
        <w:spacing w:line="360" w:lineRule="auto"/>
        <w:ind w:firstLine="600" w:firstLineChars="250"/>
        <w:rPr>
          <w:rFonts w:hAnsi="宋体"/>
          <w:sz w:val="24"/>
          <w:lang w:val="zh-CN"/>
        </w:rPr>
      </w:pPr>
      <w:r>
        <w:rPr>
          <w:rFonts w:hint="eastAsia" w:hAnsi="宋体"/>
          <w:sz w:val="24"/>
          <w:lang w:val="zh-CN"/>
        </w:rPr>
        <w:t>食堂用气</w:t>
      </w:r>
      <w:r>
        <w:rPr>
          <w:rFonts w:hAnsi="宋体"/>
          <w:sz w:val="24"/>
          <w:lang w:val="zh-CN"/>
        </w:rPr>
        <w:t>尽量缩短时间，用后随手关闭阀门。</w:t>
      </w:r>
    </w:p>
    <w:p w14:paraId="6F48B120">
      <w:pPr>
        <w:snapToGrid w:val="0"/>
        <w:spacing w:line="360" w:lineRule="auto"/>
        <w:ind w:firstLine="482" w:firstLineChars="200"/>
        <w:rPr>
          <w:rFonts w:ascii="Times New Roman" w:hAnsi="宋体" w:eastAsia="宋体" w:cs="Times New Roman"/>
          <w:sz w:val="24"/>
          <w:highlight w:val="none"/>
        </w:rPr>
      </w:pPr>
      <w:r>
        <w:rPr>
          <w:rFonts w:hint="eastAsia" w:ascii="Times New Roman" w:hAnsi="宋体" w:eastAsia="宋体" w:cs="Times New Roman"/>
          <w:b/>
          <w:bCs/>
          <w:sz w:val="24"/>
          <w:highlight w:val="none"/>
          <w:lang w:eastAsia="zh-CN"/>
        </w:rPr>
        <w:t>（三）</w:t>
      </w:r>
      <w:r>
        <w:rPr>
          <w:rFonts w:ascii="Times New Roman" w:hAnsi="宋体" w:eastAsia="宋体" w:cs="Times New Roman"/>
          <w:b/>
          <w:bCs/>
          <w:sz w:val="24"/>
          <w:highlight w:val="none"/>
        </w:rPr>
        <w:t>增加能源效率</w:t>
      </w:r>
    </w:p>
    <w:p w14:paraId="540FAA62">
      <w:pPr>
        <w:snapToGrid w:val="0"/>
        <w:spacing w:line="360" w:lineRule="auto"/>
        <w:ind w:firstLine="480" w:firstLineChars="200"/>
        <w:rPr>
          <w:rFonts w:ascii="Times New Roman" w:hAnsi="宋体" w:eastAsia="宋体" w:cs="Times New Roman"/>
          <w:sz w:val="24"/>
          <w:highlight w:val="none"/>
        </w:rPr>
      </w:pPr>
      <w:r>
        <w:rPr>
          <w:rFonts w:hint="eastAsia" w:ascii="Times New Roman" w:hAnsi="宋体" w:eastAsia="宋体" w:cs="Times New Roman"/>
          <w:sz w:val="24"/>
          <w:highlight w:val="none"/>
          <w:lang w:val="en-US" w:eastAsia="zh-CN"/>
        </w:rPr>
        <w:t>1、</w:t>
      </w:r>
      <w:r>
        <w:rPr>
          <w:rFonts w:ascii="Times New Roman" w:hAnsi="宋体" w:eastAsia="宋体" w:cs="Times New Roman"/>
          <w:sz w:val="24"/>
          <w:highlight w:val="none"/>
        </w:rPr>
        <w:t>能源是温室气体的最大排放来源之一。增加能源效率可以减少能源消耗，降低排放。我们可以通过改善建筑物的能源效率、使用能源节省型器具、采用节能照明等方式来实现。</w:t>
      </w:r>
      <w:r>
        <w:rPr>
          <w:rFonts w:hint="eastAsia" w:ascii="Times New Roman" w:hAnsi="宋体" w:eastAsia="宋体" w:cs="Times New Roman"/>
          <w:sz w:val="24"/>
          <w:highlight w:val="none"/>
        </w:rPr>
        <w:t> </w:t>
      </w:r>
    </w:p>
    <w:p w14:paraId="22BE210D">
      <w:pPr>
        <w:snapToGrid w:val="0"/>
        <w:spacing w:line="360" w:lineRule="auto"/>
        <w:ind w:firstLine="482" w:firstLineChars="200"/>
        <w:rPr>
          <w:rFonts w:hint="eastAsia" w:ascii="Times New Roman" w:hAnsi="宋体" w:eastAsia="宋体" w:cs="Times New Roman"/>
          <w:sz w:val="24"/>
          <w:highlight w:val="none"/>
        </w:rPr>
      </w:pPr>
      <w:r>
        <w:rPr>
          <w:rFonts w:hint="eastAsia" w:ascii="Times New Roman" w:hAnsi="宋体" w:eastAsia="宋体" w:cs="Times New Roman"/>
          <w:b/>
          <w:bCs/>
          <w:sz w:val="24"/>
          <w:highlight w:val="none"/>
          <w:lang w:eastAsia="zh-CN"/>
        </w:rPr>
        <w:t>（四）</w:t>
      </w:r>
      <w:r>
        <w:rPr>
          <w:rFonts w:hint="eastAsia" w:ascii="Times New Roman" w:hAnsi="宋体" w:eastAsia="宋体" w:cs="Times New Roman"/>
          <w:b/>
          <w:bCs/>
          <w:sz w:val="24"/>
          <w:highlight w:val="none"/>
        </w:rPr>
        <w:t>改变交通方式</w:t>
      </w:r>
    </w:p>
    <w:p w14:paraId="001B71DD">
      <w:pPr>
        <w:snapToGrid w:val="0"/>
        <w:spacing w:line="360" w:lineRule="auto"/>
        <w:ind w:firstLine="480" w:firstLineChars="200"/>
        <w:rPr>
          <w:rFonts w:hint="eastAsia" w:ascii="Times New Roman" w:hAnsi="宋体" w:eastAsia="宋体" w:cs="Times New Roman"/>
          <w:sz w:val="24"/>
          <w:highlight w:val="none"/>
        </w:rPr>
      </w:pPr>
      <w:r>
        <w:rPr>
          <w:rFonts w:hint="eastAsia" w:ascii="Times New Roman" w:hAnsi="宋体" w:eastAsia="宋体" w:cs="Times New Roman"/>
          <w:sz w:val="24"/>
          <w:highlight w:val="none"/>
          <w:lang w:val="en-US" w:eastAsia="zh-CN"/>
        </w:rPr>
        <w:t>1、</w:t>
      </w:r>
      <w:r>
        <w:rPr>
          <w:rFonts w:hint="eastAsia" w:ascii="Times New Roman" w:hAnsi="宋体" w:eastAsia="宋体" w:cs="Times New Roman"/>
          <w:sz w:val="24"/>
          <w:highlight w:val="none"/>
        </w:rPr>
        <w:t>交通是温室气体的重要排放来源之一。汽车的尾气排放是造成空气污染和温室气体排放的主要原因之一。改变交通方式，例如步行、骑自行车、乘坐公共交通工具等，可以减少车辆的使用，从而减少温室气体的排放。</w:t>
      </w:r>
    </w:p>
    <w:p w14:paraId="64C651B9">
      <w:pPr>
        <w:snapToGrid w:val="0"/>
        <w:spacing w:line="360" w:lineRule="auto"/>
        <w:ind w:firstLine="480" w:firstLineChars="200"/>
        <w:rPr>
          <w:rFonts w:hint="eastAsia" w:ascii="Times New Roman" w:hAnsi="宋体" w:eastAsia="宋体" w:cs="Times New Roman"/>
          <w:sz w:val="24"/>
          <w:highlight w:val="none"/>
        </w:rPr>
      </w:pPr>
      <w:r>
        <w:rPr>
          <w:rFonts w:hint="eastAsia" w:ascii="Times New Roman" w:hAnsi="宋体" w:eastAsia="宋体" w:cs="Times New Roman"/>
          <w:sz w:val="24"/>
          <w:highlight w:val="none"/>
          <w:lang w:val="en-US" w:eastAsia="zh-CN"/>
        </w:rPr>
        <w:t>2、</w:t>
      </w:r>
      <w:r>
        <w:rPr>
          <w:rFonts w:hint="eastAsia" w:ascii="Times New Roman" w:hAnsi="宋体" w:eastAsia="宋体" w:cs="Times New Roman"/>
          <w:sz w:val="24"/>
          <w:highlight w:val="none"/>
        </w:rPr>
        <w:t>推广低碳生活方式</w:t>
      </w:r>
      <w:r>
        <w:rPr>
          <w:rFonts w:hint="eastAsia" w:ascii="Times New Roman" w:hAnsi="宋体" w:eastAsia="宋体" w:cs="Times New Roman"/>
          <w:sz w:val="24"/>
          <w:highlight w:val="none"/>
          <w:lang w:eastAsia="zh-CN"/>
        </w:rPr>
        <w:t>，</w:t>
      </w:r>
      <w:r>
        <w:rPr>
          <w:rFonts w:hint="eastAsia" w:ascii="Times New Roman" w:hAnsi="宋体" w:eastAsia="宋体" w:cs="Times New Roman"/>
          <w:sz w:val="24"/>
          <w:highlight w:val="none"/>
        </w:rPr>
        <w:t>低碳生活方式是指通过改变生活方式、减少碳排放，以保护环境和气候的行为方式。像垃圾分类、减少使用不必要的包装和塑料制品、购买环保产品等低碳行为，可以减少对环境的污染和温室气体的排放。</w:t>
      </w:r>
    </w:p>
    <w:p w14:paraId="6269E358">
      <w:pPr>
        <w:snapToGrid w:val="0"/>
        <w:spacing w:line="360" w:lineRule="auto"/>
        <w:ind w:firstLine="600" w:firstLineChars="250"/>
        <w:rPr>
          <w:rFonts w:hAnsi="宋体"/>
          <w:sz w:val="24"/>
          <w:lang w:val="zh-CN"/>
        </w:rPr>
      </w:pPr>
    </w:p>
    <w:p w14:paraId="3A8E0936">
      <w:pPr>
        <w:tabs>
          <w:tab w:val="left" w:pos="628"/>
        </w:tabs>
        <w:autoSpaceDE w:val="0"/>
        <w:autoSpaceDN w:val="0"/>
        <w:adjustRightInd w:val="0"/>
        <w:snapToGrid w:val="0"/>
        <w:spacing w:line="360" w:lineRule="auto"/>
        <w:ind w:firstLine="723" w:firstLineChars="300"/>
        <w:rPr>
          <w:b/>
          <w:bCs/>
          <w:kern w:val="0"/>
          <w:sz w:val="24"/>
          <w:lang w:val="zh-CN"/>
        </w:rPr>
      </w:pPr>
      <w:r>
        <w:rPr>
          <w:rFonts w:hAnsi="宋体"/>
          <w:b/>
          <w:bCs/>
          <w:kern w:val="0"/>
          <w:sz w:val="24"/>
          <w:lang w:val="zh-CN"/>
        </w:rPr>
        <w:t>四、保障措施</w:t>
      </w:r>
    </w:p>
    <w:p w14:paraId="7F726D3F">
      <w:pPr>
        <w:autoSpaceDE w:val="0"/>
        <w:autoSpaceDN w:val="0"/>
        <w:adjustRightInd w:val="0"/>
        <w:snapToGrid w:val="0"/>
        <w:spacing w:line="360" w:lineRule="auto"/>
        <w:ind w:firstLine="595" w:firstLineChars="247"/>
        <w:rPr>
          <w:b/>
          <w:bCs/>
          <w:sz w:val="24"/>
          <w:lang w:val="zh-CN"/>
        </w:rPr>
      </w:pPr>
      <w:r>
        <w:rPr>
          <w:b/>
          <w:bCs/>
          <w:kern w:val="0"/>
          <w:sz w:val="24"/>
          <w:lang w:val="zh-CN"/>
        </w:rPr>
        <w:t>(</w:t>
      </w:r>
      <w:r>
        <w:rPr>
          <w:rFonts w:hAnsi="宋体"/>
          <w:b/>
          <w:bCs/>
          <w:kern w:val="0"/>
          <w:sz w:val="24"/>
          <w:lang w:val="zh-CN"/>
        </w:rPr>
        <w:t>一</w:t>
      </w:r>
      <w:r>
        <w:rPr>
          <w:b/>
          <w:bCs/>
          <w:kern w:val="0"/>
          <w:sz w:val="24"/>
          <w:lang w:val="zh-CN"/>
        </w:rPr>
        <w:t>)</w:t>
      </w:r>
      <w:r>
        <w:rPr>
          <w:rFonts w:hAnsi="宋体"/>
          <w:b/>
          <w:bCs/>
          <w:sz w:val="24"/>
          <w:lang w:val="zh-CN"/>
        </w:rPr>
        <w:t>加强领导，明确责任</w:t>
      </w:r>
    </w:p>
    <w:p w14:paraId="14C2AA29">
      <w:pPr>
        <w:autoSpaceDE w:val="0"/>
        <w:autoSpaceDN w:val="0"/>
        <w:adjustRightInd w:val="0"/>
        <w:snapToGrid w:val="0"/>
        <w:spacing w:line="360" w:lineRule="auto"/>
        <w:ind w:firstLine="633"/>
        <w:rPr>
          <w:b/>
          <w:bCs/>
          <w:kern w:val="0"/>
          <w:sz w:val="24"/>
          <w:lang w:val="zh-CN"/>
        </w:rPr>
      </w:pPr>
      <w:r>
        <w:rPr>
          <w:rFonts w:hAnsi="宋体"/>
          <w:sz w:val="24"/>
          <w:lang w:val="zh-CN"/>
        </w:rPr>
        <w:t>为加强对节能工作的领导，</w:t>
      </w:r>
      <w:r>
        <w:rPr>
          <w:rFonts w:hint="eastAsia" w:hAnsi="宋体"/>
          <w:sz w:val="24"/>
          <w:lang w:val="zh-CN"/>
        </w:rPr>
        <w:t>安徽</w:t>
      </w:r>
      <w:r>
        <w:rPr>
          <w:rFonts w:hint="eastAsia" w:hAnsi="宋体"/>
          <w:sz w:val="24"/>
          <w:lang w:val="en-US" w:eastAsia="zh-CN"/>
        </w:rPr>
        <w:t>美信</w:t>
      </w:r>
      <w:r>
        <w:rPr>
          <w:rFonts w:hint="eastAsia" w:hAnsi="宋体"/>
          <w:sz w:val="24"/>
          <w:lang w:val="zh-CN"/>
        </w:rPr>
        <w:t>公司</w:t>
      </w:r>
      <w:r>
        <w:rPr>
          <w:rFonts w:hAnsi="宋体"/>
          <w:sz w:val="24"/>
          <w:lang w:val="zh-CN"/>
        </w:rPr>
        <w:t>成立了节能工作领导小组，由</w:t>
      </w:r>
      <w:r>
        <w:rPr>
          <w:rFonts w:hint="eastAsia" w:hAnsi="宋体"/>
          <w:sz w:val="24"/>
          <w:lang w:val="en-US" w:eastAsia="zh-CN"/>
        </w:rPr>
        <w:t>瞿竞成</w:t>
      </w:r>
      <w:r>
        <w:rPr>
          <w:rFonts w:hint="eastAsia" w:hAnsi="宋体"/>
          <w:sz w:val="24"/>
          <w:lang w:val="zh-CN"/>
        </w:rPr>
        <w:t>为</w:t>
      </w:r>
      <w:r>
        <w:rPr>
          <w:rFonts w:hAnsi="宋体"/>
          <w:sz w:val="24"/>
          <w:lang w:val="zh-CN"/>
        </w:rPr>
        <w:t>组长，</w:t>
      </w:r>
      <w:r>
        <w:rPr>
          <w:rFonts w:hint="eastAsia" w:hAnsi="宋体"/>
          <w:sz w:val="24"/>
          <w:lang w:val="en-US" w:eastAsia="zh-CN"/>
        </w:rPr>
        <w:t>肖佩</w:t>
      </w:r>
      <w:r>
        <w:rPr>
          <w:rFonts w:hAnsi="宋体"/>
          <w:sz w:val="24"/>
          <w:lang w:val="zh-CN"/>
        </w:rPr>
        <w:t>为副组长，各</w:t>
      </w:r>
      <w:r>
        <w:rPr>
          <w:rFonts w:hint="eastAsia" w:hAnsi="宋体"/>
          <w:sz w:val="24"/>
          <w:lang w:val="zh-CN"/>
        </w:rPr>
        <w:t>部门</w:t>
      </w:r>
      <w:r>
        <w:rPr>
          <w:rFonts w:hAnsi="宋体"/>
          <w:sz w:val="24"/>
          <w:lang w:val="zh-CN"/>
        </w:rPr>
        <w:t>负责人为成员，领导小组下设办公室，负责节能工作的日常管理。</w:t>
      </w:r>
    </w:p>
    <w:p w14:paraId="0DED8EAE">
      <w:pPr>
        <w:autoSpaceDE w:val="0"/>
        <w:autoSpaceDN w:val="0"/>
        <w:adjustRightInd w:val="0"/>
        <w:snapToGrid w:val="0"/>
        <w:spacing w:line="360" w:lineRule="auto"/>
        <w:ind w:firstLine="595" w:firstLineChars="247"/>
        <w:rPr>
          <w:b/>
          <w:bCs/>
          <w:kern w:val="0"/>
          <w:sz w:val="24"/>
          <w:lang w:val="zh-CN"/>
        </w:rPr>
      </w:pPr>
      <w:r>
        <w:rPr>
          <w:b/>
          <w:bCs/>
          <w:kern w:val="0"/>
          <w:sz w:val="24"/>
          <w:lang w:val="zh-CN"/>
        </w:rPr>
        <w:t>(</w:t>
      </w:r>
      <w:r>
        <w:rPr>
          <w:rFonts w:hAnsi="宋体"/>
          <w:b/>
          <w:bCs/>
          <w:kern w:val="0"/>
          <w:sz w:val="24"/>
          <w:lang w:val="zh-CN"/>
        </w:rPr>
        <w:t>二</w:t>
      </w:r>
      <w:r>
        <w:rPr>
          <w:b/>
          <w:bCs/>
          <w:kern w:val="0"/>
          <w:sz w:val="24"/>
          <w:lang w:val="zh-CN"/>
        </w:rPr>
        <w:t>)</w:t>
      </w:r>
      <w:r>
        <w:rPr>
          <w:rFonts w:hAnsi="宋体"/>
          <w:b/>
          <w:bCs/>
          <w:kern w:val="0"/>
          <w:sz w:val="24"/>
          <w:lang w:val="zh-CN"/>
        </w:rPr>
        <w:t>加强宣传教育，提高节能意识</w:t>
      </w:r>
    </w:p>
    <w:p w14:paraId="0C173610">
      <w:pPr>
        <w:autoSpaceDE w:val="0"/>
        <w:autoSpaceDN w:val="0"/>
        <w:adjustRightInd w:val="0"/>
        <w:snapToGrid w:val="0"/>
        <w:spacing w:line="360" w:lineRule="auto"/>
        <w:ind w:firstLine="640"/>
        <w:rPr>
          <w:kern w:val="0"/>
          <w:sz w:val="24"/>
          <w:lang w:val="zh-CN"/>
        </w:rPr>
      </w:pPr>
      <w:r>
        <w:rPr>
          <w:rFonts w:hAnsi="宋体"/>
          <w:kern w:val="0"/>
          <w:sz w:val="24"/>
          <w:lang w:val="zh-CN"/>
        </w:rPr>
        <w:t>广泛开展节能宣传教育，增强干部职工的资源忧患意识和节约意识。积极开展能源紧缺体验活动和节约能源、资源宣传周活动。每年</w:t>
      </w:r>
      <w:r>
        <w:rPr>
          <w:kern w:val="0"/>
          <w:sz w:val="24"/>
          <w:lang w:val="zh-CN"/>
        </w:rPr>
        <w:t>6</w:t>
      </w:r>
      <w:r>
        <w:rPr>
          <w:rFonts w:hAnsi="宋体"/>
          <w:kern w:val="0"/>
          <w:sz w:val="24"/>
          <w:lang w:val="zh-CN"/>
        </w:rPr>
        <w:t>月、</w:t>
      </w:r>
      <w:r>
        <w:rPr>
          <w:kern w:val="0"/>
          <w:sz w:val="24"/>
          <w:lang w:val="zh-CN"/>
        </w:rPr>
        <w:t>9</w:t>
      </w:r>
      <w:r>
        <w:rPr>
          <w:rFonts w:hAnsi="宋体"/>
          <w:kern w:val="0"/>
          <w:sz w:val="24"/>
          <w:lang w:val="zh-CN"/>
        </w:rPr>
        <w:t>月第一个星期开展能源资源紧缺体验活动，每年</w:t>
      </w:r>
      <w:r>
        <w:rPr>
          <w:kern w:val="0"/>
          <w:sz w:val="24"/>
          <w:lang w:val="zh-CN"/>
        </w:rPr>
        <w:t>6</w:t>
      </w:r>
      <w:r>
        <w:rPr>
          <w:rFonts w:hAnsi="宋体"/>
          <w:kern w:val="0"/>
          <w:sz w:val="24"/>
          <w:lang w:val="zh-CN"/>
        </w:rPr>
        <w:t>月第二周为</w:t>
      </w:r>
      <w:r>
        <w:rPr>
          <w:kern w:val="0"/>
          <w:sz w:val="24"/>
          <w:lang w:val="zh-CN"/>
        </w:rPr>
        <w:t>“</w:t>
      </w:r>
      <w:r>
        <w:rPr>
          <w:rFonts w:hAnsi="宋体"/>
          <w:kern w:val="0"/>
          <w:sz w:val="24"/>
          <w:lang w:val="zh-CN"/>
        </w:rPr>
        <w:t>资源节约宣传周</w:t>
      </w:r>
      <w:r>
        <w:rPr>
          <w:kern w:val="0"/>
          <w:sz w:val="24"/>
          <w:lang w:val="zh-CN"/>
        </w:rPr>
        <w:t>”</w:t>
      </w:r>
      <w:r>
        <w:rPr>
          <w:rFonts w:hAnsi="宋体"/>
          <w:kern w:val="0"/>
          <w:sz w:val="24"/>
          <w:lang w:val="zh-CN"/>
        </w:rPr>
        <w:t>。</w:t>
      </w:r>
    </w:p>
    <w:p w14:paraId="7E938573">
      <w:pPr>
        <w:autoSpaceDE w:val="0"/>
        <w:autoSpaceDN w:val="0"/>
        <w:adjustRightInd w:val="0"/>
        <w:snapToGrid w:val="0"/>
        <w:spacing w:line="360" w:lineRule="auto"/>
        <w:ind w:firstLine="640"/>
        <w:rPr>
          <w:rFonts w:hAnsi="宋体"/>
          <w:kern w:val="0"/>
          <w:sz w:val="24"/>
          <w:lang w:val="zh-CN"/>
        </w:rPr>
      </w:pPr>
      <w:r>
        <w:rPr>
          <w:rFonts w:hAnsi="宋体"/>
          <w:kern w:val="0"/>
          <w:sz w:val="24"/>
          <w:lang w:val="zh-CN"/>
        </w:rPr>
        <w:t>培养自觉节约能源、资源的良好习惯。在公共区域设施设备旁张贴节约标识，营造节约能源、资源氛围，提示职工时刻不忘节约能源、资源。引导干部职工减少使用一次性筷子、纸杯、签字笔、塑料购物袋等用品。倡导乘坐公共交通工具或骑自行车出行，减少私车使用。教育广大干部职工从节约一滴油、一度电、一滴水、一张纸、一粒米做起，培养自觉节约能源、资源的良好习惯。</w:t>
      </w:r>
    </w:p>
    <w:p w14:paraId="5C8AAEFF">
      <w:pPr>
        <w:autoSpaceDE w:val="0"/>
        <w:autoSpaceDN w:val="0"/>
        <w:adjustRightInd w:val="0"/>
        <w:snapToGrid w:val="0"/>
        <w:spacing w:line="360" w:lineRule="auto"/>
        <w:ind w:firstLine="640"/>
        <w:rPr>
          <w:rFonts w:hAnsi="宋体"/>
          <w:kern w:val="0"/>
          <w:sz w:val="24"/>
          <w:lang w:val="zh-CN"/>
        </w:rPr>
      </w:pPr>
    </w:p>
    <w:p w14:paraId="6A5FC1A8">
      <w:pPr>
        <w:autoSpaceDE w:val="0"/>
        <w:autoSpaceDN w:val="0"/>
        <w:adjustRightInd w:val="0"/>
        <w:snapToGrid w:val="0"/>
        <w:spacing w:line="360" w:lineRule="auto"/>
        <w:ind w:firstLine="640"/>
        <w:rPr>
          <w:rFonts w:hAnsi="宋体"/>
          <w:kern w:val="0"/>
          <w:sz w:val="24"/>
          <w:lang w:val="zh-CN"/>
        </w:rPr>
      </w:pPr>
      <w:r>
        <w:rPr>
          <w:rFonts w:hint="eastAsia" w:hAnsi="宋体"/>
          <w:kern w:val="0"/>
          <w:sz w:val="24"/>
          <w:lang w:val="en-US" w:eastAsia="zh-CN"/>
        </w:rPr>
        <w:t>通过以上措施，</w:t>
      </w:r>
      <w:r>
        <w:rPr>
          <w:rFonts w:hint="eastAsia" w:hAnsi="宋体"/>
          <w:kern w:val="0"/>
          <w:sz w:val="24"/>
          <w:lang w:val="zh-CN"/>
        </w:rPr>
        <w:t>确保温室气体减排途径符合全球温升控制在1.5摄氏度的情景。</w:t>
      </w:r>
    </w:p>
    <w:p w14:paraId="0C1C194A">
      <w:pPr>
        <w:autoSpaceDE w:val="0"/>
        <w:autoSpaceDN w:val="0"/>
        <w:adjustRightInd w:val="0"/>
        <w:snapToGrid w:val="0"/>
        <w:spacing w:line="360" w:lineRule="auto"/>
        <w:ind w:firstLine="640"/>
        <w:rPr>
          <w:rFonts w:hint="default" w:hAnsi="宋体"/>
          <w:kern w:val="0"/>
          <w:sz w:val="24"/>
          <w:lang w:val="en-US" w:eastAsia="zh-CN"/>
        </w:rPr>
      </w:pPr>
      <w:r>
        <w:rPr>
          <w:rFonts w:hAnsi="宋体"/>
          <w:kern w:val="0"/>
          <w:sz w:val="24"/>
          <w:lang w:val="zh-CN"/>
        </w:rPr>
        <w:t>温室气体减排是全球共同议程，需要政府、企业和个人共同参与。只有我们积极采取措施，才能为保护环境、减缓气候变化和实现可持续发展做出贡献。</w:t>
      </w:r>
    </w:p>
    <w:p w14:paraId="620417E7">
      <w:pPr>
        <w:ind w:firstLine="602" w:firstLineChars="200"/>
        <w:rPr>
          <w:rFonts w:ascii="微软雅黑" w:hAnsi="微软雅黑" w:eastAsia="微软雅黑"/>
          <w:sz w:val="28"/>
          <w:szCs w:val="28"/>
        </w:rPr>
      </w:pPr>
      <w:r>
        <w:rPr>
          <w:rFonts w:hint="eastAsia" w:ascii="黑体" w:hAnsi="黑体" w:eastAsia="黑体" w:cs="黑体"/>
          <w:b/>
          <w:sz w:val="30"/>
          <w:szCs w:val="30"/>
        </w:rPr>
        <w:drawing>
          <wp:anchor distT="0" distB="0" distL="114300" distR="114300" simplePos="0" relativeHeight="251659264" behindDoc="1" locked="0" layoutInCell="1" allowOverlap="1">
            <wp:simplePos x="0" y="0"/>
            <wp:positionH relativeFrom="column">
              <wp:posOffset>4670425</wp:posOffset>
            </wp:positionH>
            <wp:positionV relativeFrom="paragraph">
              <wp:posOffset>351790</wp:posOffset>
            </wp:positionV>
            <wp:extent cx="1247140" cy="800735"/>
            <wp:effectExtent l="0" t="0" r="10160" b="1841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lum bright="17999"/>
                    </a:blip>
                    <a:stretch>
                      <a:fillRect/>
                    </a:stretch>
                  </pic:blipFill>
                  <pic:spPr>
                    <a:xfrm>
                      <a:off x="0" y="0"/>
                      <a:ext cx="1247140" cy="800735"/>
                    </a:xfrm>
                    <a:prstGeom prst="rect">
                      <a:avLst/>
                    </a:prstGeom>
                    <a:noFill/>
                    <a:ln>
                      <a:noFill/>
                    </a:ln>
                  </pic:spPr>
                </pic:pic>
              </a:graphicData>
            </a:graphic>
          </wp:anchor>
        </w:drawing>
      </w:r>
    </w:p>
    <w:p w14:paraId="4C6920E9">
      <w:pPr>
        <w:jc w:val="center"/>
        <w:rPr>
          <w:rFonts w:hint="default"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                                总经理：</w:t>
      </w:r>
    </w:p>
    <w:p w14:paraId="437C82E1">
      <w:pPr>
        <w:jc w:val="center"/>
        <w:rPr>
          <w:rFonts w:hint="eastAsia"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                                          安徽美信铝业有限公司</w:t>
      </w:r>
    </w:p>
    <w:p w14:paraId="69BCF12F">
      <w:pPr>
        <w:jc w:val="center"/>
        <w:rPr>
          <w:rFonts w:hint="eastAsia"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                                           2024年02月01日</w:t>
      </w:r>
      <w:r>
        <w:rPr>
          <w:kern w:val="0"/>
          <w:sz w:val="24"/>
          <w:lang w:val="zh-CN"/>
        </w:rPr>
        <w:tab/>
      </w:r>
      <w:r>
        <w:rPr>
          <w:rFonts w:hint="eastAsia" w:ascii="微软雅黑" w:hAnsi="微软雅黑" w:eastAsia="微软雅黑"/>
          <w:sz w:val="28"/>
          <w:szCs w:val="28"/>
          <w:lang w:val="en-US" w:eastAsia="zh-CN"/>
        </w:rPr>
        <w:t xml:space="preserve">  </w:t>
      </w:r>
    </w:p>
    <w:p w14:paraId="3DB5AB51">
      <w:pPr>
        <w:jc w:val="center"/>
        <w:rPr>
          <w:lang w:val="en-US" w:eastAsia="zh-CN"/>
        </w:rPr>
      </w:pPr>
      <w:r>
        <w:rPr>
          <w:rFonts w:hint="eastAsia" w:ascii="微软雅黑" w:hAnsi="微软雅黑" w:eastAsia="微软雅黑"/>
          <w:sz w:val="24"/>
          <w:szCs w:val="24"/>
          <w:lang w:val="en-US" w:eastAsia="zh-CN"/>
        </w:rPr>
        <w:t xml:space="preserve">                                            </w:t>
      </w:r>
    </w:p>
    <w:sectPr>
      <w:pgSz w:w="11906" w:h="16838"/>
      <w:pgMar w:top="1418" w:right="1134" w:bottom="72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OGM3ZDI1Y2IxMzBlNjJiMTA1ODk4YWY5NmYzMzEifQ=="/>
  </w:docVars>
  <w:rsids>
    <w:rsidRoot w:val="00000000"/>
    <w:rsid w:val="050043B5"/>
    <w:rsid w:val="09373875"/>
    <w:rsid w:val="09EF656E"/>
    <w:rsid w:val="17755E2F"/>
    <w:rsid w:val="1B2E4516"/>
    <w:rsid w:val="236927C4"/>
    <w:rsid w:val="29B3724F"/>
    <w:rsid w:val="41FB497D"/>
    <w:rsid w:val="54EA42B5"/>
    <w:rsid w:val="61522BB5"/>
    <w:rsid w:val="63BE7063"/>
    <w:rsid w:val="70173AD6"/>
    <w:rsid w:val="755B3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1915</Words>
  <Characters>2013</Characters>
  <Lines>0</Lines>
  <Paragraphs>0</Paragraphs>
  <TotalTime>19</TotalTime>
  <ScaleCrop>false</ScaleCrop>
  <LinksUpToDate>false</LinksUpToDate>
  <CharactersWithSpaces>2193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2023-10-20T04:17:00Z</dcterms:created>
  <dc:creator>马朋飞</dc:creator>
  <cp:lastModifiedBy>mengxiangwu</cp:lastModifiedBy>
  <dcterms:modified xsi:type="dcterms:W3CDTF">2024-10-13T11:00:42Z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B3F84C11EE1F476F8D4D628F6DE6F6FC_12</vt:lpwstr>
  </property>
</Properties>
</file>