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537A34">
      <w:pPr>
        <w:pStyle w:val="3"/>
        <w:spacing w:line="248" w:lineRule="auto"/>
        <w:rPr>
          <w:highlight w:val="none"/>
        </w:rPr>
      </w:pPr>
    </w:p>
    <w:p w14:paraId="0CAC103B">
      <w:pPr>
        <w:pStyle w:val="3"/>
        <w:spacing w:line="248" w:lineRule="auto"/>
        <w:rPr>
          <w:highlight w:val="none"/>
        </w:rPr>
      </w:pPr>
    </w:p>
    <w:p w14:paraId="7A5CB751">
      <w:pPr>
        <w:pStyle w:val="3"/>
        <w:spacing w:line="248" w:lineRule="auto"/>
        <w:rPr>
          <w:highlight w:val="none"/>
        </w:rPr>
      </w:pPr>
    </w:p>
    <w:p w14:paraId="37F82391">
      <w:pPr>
        <w:pStyle w:val="3"/>
        <w:spacing w:line="248" w:lineRule="auto"/>
        <w:rPr>
          <w:highlight w:val="none"/>
        </w:rPr>
      </w:pPr>
    </w:p>
    <w:p w14:paraId="38BBCF20">
      <w:pPr>
        <w:pStyle w:val="3"/>
        <w:spacing w:line="248" w:lineRule="auto"/>
        <w:rPr>
          <w:highlight w:val="none"/>
        </w:rPr>
      </w:pPr>
    </w:p>
    <w:p w14:paraId="5F2D9B2D">
      <w:pPr>
        <w:pStyle w:val="3"/>
        <w:spacing w:line="248" w:lineRule="auto"/>
        <w:rPr>
          <w:highlight w:val="none"/>
        </w:rPr>
      </w:pPr>
    </w:p>
    <w:p w14:paraId="1272667B">
      <w:pPr>
        <w:pStyle w:val="3"/>
        <w:spacing w:line="248" w:lineRule="auto"/>
        <w:rPr>
          <w:highlight w:val="none"/>
        </w:rPr>
      </w:pPr>
    </w:p>
    <w:p w14:paraId="0F64845C">
      <w:pPr>
        <w:pStyle w:val="3"/>
        <w:spacing w:line="248" w:lineRule="auto"/>
        <w:rPr>
          <w:highlight w:val="none"/>
        </w:rPr>
      </w:pPr>
    </w:p>
    <w:p w14:paraId="6EC49FD9">
      <w:pPr>
        <w:pStyle w:val="3"/>
        <w:spacing w:line="248" w:lineRule="auto"/>
        <w:rPr>
          <w:highlight w:val="none"/>
        </w:rPr>
      </w:pPr>
    </w:p>
    <w:p w14:paraId="73DF200B">
      <w:pPr>
        <w:pStyle w:val="3"/>
        <w:spacing w:line="248" w:lineRule="auto"/>
        <w:rPr>
          <w:highlight w:val="none"/>
        </w:rPr>
      </w:pPr>
    </w:p>
    <w:p w14:paraId="5B9CA7D9">
      <w:pPr>
        <w:pStyle w:val="3"/>
        <w:spacing w:line="248" w:lineRule="auto"/>
        <w:rPr>
          <w:highlight w:val="none"/>
        </w:rPr>
      </w:pPr>
    </w:p>
    <w:p w14:paraId="35C1FE2D">
      <w:pPr>
        <w:pStyle w:val="3"/>
        <w:spacing w:line="248" w:lineRule="auto"/>
        <w:rPr>
          <w:highlight w:val="none"/>
        </w:rPr>
      </w:pPr>
    </w:p>
    <w:p w14:paraId="767DF120">
      <w:pPr>
        <w:pStyle w:val="3"/>
        <w:spacing w:line="248" w:lineRule="auto"/>
        <w:rPr>
          <w:highlight w:val="none"/>
        </w:rPr>
      </w:pPr>
    </w:p>
    <w:p w14:paraId="2D8731F6">
      <w:pPr>
        <w:pStyle w:val="3"/>
        <w:spacing w:line="248" w:lineRule="auto"/>
        <w:rPr>
          <w:highlight w:val="none"/>
        </w:rPr>
      </w:pPr>
    </w:p>
    <w:p w14:paraId="798BDC14">
      <w:pPr>
        <w:pStyle w:val="3"/>
        <w:spacing w:line="248" w:lineRule="auto"/>
        <w:rPr>
          <w:highlight w:val="none"/>
        </w:rPr>
      </w:pPr>
    </w:p>
    <w:p w14:paraId="1ABBB9F5">
      <w:pPr>
        <w:pStyle w:val="3"/>
        <w:spacing w:line="249" w:lineRule="auto"/>
        <w:rPr>
          <w:highlight w:val="none"/>
        </w:rPr>
      </w:pPr>
    </w:p>
    <w:p w14:paraId="3EE150D5">
      <w:pPr>
        <w:pStyle w:val="3"/>
        <w:spacing w:line="249" w:lineRule="auto"/>
        <w:rPr>
          <w:highlight w:val="none"/>
        </w:rPr>
      </w:pPr>
    </w:p>
    <w:p w14:paraId="792817DD">
      <w:pPr>
        <w:pStyle w:val="3"/>
        <w:spacing w:line="249" w:lineRule="auto"/>
        <w:rPr>
          <w:highlight w:val="none"/>
        </w:rPr>
      </w:pPr>
    </w:p>
    <w:p w14:paraId="3AABADD9">
      <w:pPr>
        <w:spacing w:before="338" w:line="195" w:lineRule="auto"/>
        <w:jc w:val="right"/>
        <w:outlineLvl w:val="0"/>
        <w:rPr>
          <w:rFonts w:ascii="微软雅黑" w:hAnsi="微软雅黑" w:eastAsia="微软雅黑" w:cs="微软雅黑"/>
          <w:sz w:val="79"/>
          <w:szCs w:val="79"/>
          <w:highlight w:val="none"/>
        </w:rPr>
      </w:pPr>
      <w:r>
        <w:rPr>
          <w:rFonts w:ascii="微软雅黑" w:hAnsi="微软雅黑" w:eastAsia="微软雅黑" w:cs="微软雅黑"/>
          <w:b/>
          <w:bCs/>
          <w:spacing w:val="2"/>
          <w:sz w:val="79"/>
          <w:szCs w:val="79"/>
          <w:highlight w:val="none"/>
        </w:rPr>
        <w:t>202</w:t>
      </w:r>
      <w:r>
        <w:rPr>
          <w:rFonts w:hint="eastAsia" w:ascii="微软雅黑" w:hAnsi="微软雅黑" w:eastAsia="微软雅黑" w:cs="微软雅黑"/>
          <w:b/>
          <w:bCs/>
          <w:spacing w:val="2"/>
          <w:sz w:val="79"/>
          <w:szCs w:val="79"/>
          <w:highlight w:val="none"/>
          <w:lang w:val="en-US" w:eastAsia="zh-CN"/>
        </w:rPr>
        <w:t>3</w:t>
      </w:r>
      <w:r>
        <w:rPr>
          <w:rFonts w:ascii="微软雅黑" w:hAnsi="微软雅黑" w:eastAsia="微软雅黑" w:cs="微软雅黑"/>
          <w:b/>
          <w:bCs/>
          <w:spacing w:val="2"/>
          <w:sz w:val="79"/>
          <w:szCs w:val="79"/>
          <w:highlight w:val="none"/>
        </w:rPr>
        <w:t>年可持续发展报告</w:t>
      </w:r>
    </w:p>
    <w:p w14:paraId="4F0A4AA6">
      <w:pPr>
        <w:pStyle w:val="3"/>
        <w:spacing w:line="243" w:lineRule="auto"/>
        <w:rPr>
          <w:highlight w:val="none"/>
        </w:rPr>
      </w:pPr>
    </w:p>
    <w:p w14:paraId="65F90924">
      <w:pPr>
        <w:pStyle w:val="3"/>
        <w:spacing w:line="243" w:lineRule="auto"/>
        <w:rPr>
          <w:highlight w:val="none"/>
        </w:rPr>
      </w:pPr>
    </w:p>
    <w:p w14:paraId="225C0A1F">
      <w:pPr>
        <w:pStyle w:val="3"/>
        <w:spacing w:line="243" w:lineRule="auto"/>
        <w:rPr>
          <w:highlight w:val="none"/>
        </w:rPr>
      </w:pPr>
    </w:p>
    <w:p w14:paraId="6D6A5611">
      <w:pPr>
        <w:pStyle w:val="3"/>
        <w:spacing w:line="243" w:lineRule="auto"/>
        <w:rPr>
          <w:highlight w:val="none"/>
        </w:rPr>
      </w:pPr>
    </w:p>
    <w:p w14:paraId="41F599A1">
      <w:pPr>
        <w:pStyle w:val="3"/>
        <w:spacing w:line="243" w:lineRule="auto"/>
        <w:rPr>
          <w:highlight w:val="none"/>
        </w:rPr>
      </w:pPr>
    </w:p>
    <w:p w14:paraId="4EF41F66">
      <w:pPr>
        <w:pStyle w:val="3"/>
        <w:spacing w:line="243" w:lineRule="auto"/>
        <w:rPr>
          <w:highlight w:val="none"/>
        </w:rPr>
      </w:pPr>
    </w:p>
    <w:p w14:paraId="3AFD6F46">
      <w:pPr>
        <w:pStyle w:val="3"/>
        <w:spacing w:line="244" w:lineRule="auto"/>
        <w:rPr>
          <w:highlight w:val="none"/>
        </w:rPr>
      </w:pPr>
    </w:p>
    <w:p w14:paraId="00DCD1E3">
      <w:pPr>
        <w:pStyle w:val="3"/>
        <w:spacing w:line="244" w:lineRule="auto"/>
        <w:rPr>
          <w:highlight w:val="none"/>
        </w:rPr>
      </w:pPr>
    </w:p>
    <w:p w14:paraId="5134442F">
      <w:pPr>
        <w:pStyle w:val="3"/>
        <w:spacing w:line="244" w:lineRule="auto"/>
        <w:rPr>
          <w:highlight w:val="none"/>
        </w:rPr>
      </w:pPr>
    </w:p>
    <w:p w14:paraId="60F387AF">
      <w:pPr>
        <w:pStyle w:val="3"/>
        <w:spacing w:line="244" w:lineRule="auto"/>
        <w:rPr>
          <w:highlight w:val="none"/>
        </w:rPr>
      </w:pPr>
    </w:p>
    <w:p w14:paraId="05247BE9">
      <w:pPr>
        <w:pStyle w:val="3"/>
        <w:spacing w:line="244" w:lineRule="auto"/>
        <w:rPr>
          <w:highlight w:val="none"/>
        </w:rPr>
      </w:pPr>
    </w:p>
    <w:p w14:paraId="3CDEBE55">
      <w:pPr>
        <w:pStyle w:val="3"/>
        <w:spacing w:line="244" w:lineRule="auto"/>
        <w:rPr>
          <w:highlight w:val="none"/>
        </w:rPr>
      </w:pPr>
    </w:p>
    <w:p w14:paraId="292CFB3B">
      <w:pPr>
        <w:pStyle w:val="3"/>
        <w:spacing w:line="244" w:lineRule="auto"/>
        <w:rPr>
          <w:highlight w:val="none"/>
        </w:rPr>
      </w:pPr>
    </w:p>
    <w:p w14:paraId="288ACC05">
      <w:pPr>
        <w:pStyle w:val="3"/>
        <w:spacing w:line="244" w:lineRule="auto"/>
        <w:rPr>
          <w:highlight w:val="none"/>
        </w:rPr>
      </w:pPr>
    </w:p>
    <w:p w14:paraId="429903F1">
      <w:pPr>
        <w:pStyle w:val="3"/>
        <w:spacing w:line="244" w:lineRule="auto"/>
        <w:rPr>
          <w:highlight w:val="none"/>
        </w:rPr>
      </w:pPr>
    </w:p>
    <w:p w14:paraId="09FD1674">
      <w:pPr>
        <w:pStyle w:val="3"/>
        <w:spacing w:line="244" w:lineRule="auto"/>
        <w:rPr>
          <w:highlight w:val="none"/>
        </w:rPr>
      </w:pPr>
    </w:p>
    <w:p w14:paraId="3997FB0C">
      <w:pPr>
        <w:pStyle w:val="3"/>
        <w:spacing w:line="244" w:lineRule="auto"/>
        <w:rPr>
          <w:highlight w:val="none"/>
        </w:rPr>
      </w:pPr>
    </w:p>
    <w:p w14:paraId="44DC8282">
      <w:pPr>
        <w:pStyle w:val="3"/>
        <w:spacing w:line="244" w:lineRule="auto"/>
        <w:rPr>
          <w:highlight w:val="none"/>
        </w:rPr>
      </w:pPr>
    </w:p>
    <w:p w14:paraId="0FECA39B">
      <w:pPr>
        <w:pStyle w:val="3"/>
        <w:spacing w:line="244" w:lineRule="auto"/>
        <w:rPr>
          <w:highlight w:val="none"/>
        </w:rPr>
      </w:pPr>
    </w:p>
    <w:p w14:paraId="25B50697">
      <w:pPr>
        <w:pStyle w:val="3"/>
        <w:spacing w:line="244" w:lineRule="auto"/>
        <w:rPr>
          <w:highlight w:val="none"/>
        </w:rPr>
      </w:pPr>
    </w:p>
    <w:p w14:paraId="24BFD230">
      <w:pPr>
        <w:pStyle w:val="3"/>
        <w:spacing w:line="244" w:lineRule="auto"/>
        <w:rPr>
          <w:highlight w:val="none"/>
        </w:rPr>
      </w:pPr>
    </w:p>
    <w:p w14:paraId="2DDC9F9B">
      <w:pPr>
        <w:pStyle w:val="3"/>
        <w:spacing w:line="244" w:lineRule="auto"/>
        <w:rPr>
          <w:highlight w:val="none"/>
        </w:rPr>
      </w:pPr>
    </w:p>
    <w:p w14:paraId="10ABA8A0">
      <w:pPr>
        <w:pStyle w:val="3"/>
        <w:spacing w:line="244" w:lineRule="auto"/>
        <w:rPr>
          <w:highlight w:val="none"/>
        </w:rPr>
      </w:pPr>
    </w:p>
    <w:p w14:paraId="583FF611">
      <w:pPr>
        <w:pStyle w:val="3"/>
        <w:spacing w:line="244" w:lineRule="auto"/>
        <w:rPr>
          <w:highlight w:val="none"/>
        </w:rPr>
      </w:pPr>
    </w:p>
    <w:p w14:paraId="0BB54C65">
      <w:pPr>
        <w:pStyle w:val="3"/>
        <w:spacing w:line="244" w:lineRule="auto"/>
        <w:rPr>
          <w:highlight w:val="none"/>
        </w:rPr>
      </w:pPr>
    </w:p>
    <w:p w14:paraId="54770AAD">
      <w:pPr>
        <w:pStyle w:val="3"/>
        <w:spacing w:line="244" w:lineRule="auto"/>
        <w:rPr>
          <w:highlight w:val="none"/>
        </w:rPr>
      </w:pPr>
    </w:p>
    <w:p w14:paraId="24E7EC6E">
      <w:pPr>
        <w:spacing w:before="1" w:line="194" w:lineRule="auto"/>
        <w:jc w:val="center"/>
        <w:rPr>
          <w:rFonts w:hint="eastAsia" w:ascii="微软雅黑" w:hAnsi="微软雅黑" w:eastAsia="微软雅黑" w:cs="微软雅黑"/>
          <w:b/>
          <w:bCs/>
          <w:position w:val="39"/>
          <w:sz w:val="40"/>
          <w:szCs w:val="40"/>
          <w:highlight w:val="none"/>
          <w:lang w:val="en-US" w:eastAsia="zh-CN"/>
        </w:rPr>
      </w:pPr>
      <w:r>
        <w:rPr>
          <w:rFonts w:hint="eastAsia" w:ascii="微软雅黑" w:hAnsi="微软雅黑" w:eastAsia="微软雅黑" w:cs="微软雅黑"/>
          <w:b/>
          <w:bCs/>
          <w:position w:val="39"/>
          <w:sz w:val="40"/>
          <w:szCs w:val="40"/>
          <w:highlight w:val="none"/>
          <w:lang w:val="en-US" w:eastAsia="zh-CN"/>
        </w:rPr>
        <w:t>安徽美信铝业有限公司</w:t>
      </w:r>
    </w:p>
    <w:p w14:paraId="4ACC7442">
      <w:pPr>
        <w:spacing w:before="1" w:line="194" w:lineRule="auto"/>
        <w:jc w:val="center"/>
        <w:rPr>
          <w:rFonts w:ascii="微软雅黑" w:hAnsi="微软雅黑" w:eastAsia="微软雅黑" w:cs="微软雅黑"/>
          <w:sz w:val="40"/>
          <w:szCs w:val="40"/>
          <w:highlight w:val="none"/>
        </w:rPr>
      </w:pPr>
      <w:r>
        <w:rPr>
          <w:rFonts w:ascii="微软雅黑" w:hAnsi="微软雅黑" w:eastAsia="微软雅黑" w:cs="微软雅黑"/>
          <w:b/>
          <w:bCs/>
          <w:spacing w:val="-6"/>
          <w:sz w:val="40"/>
          <w:szCs w:val="40"/>
          <w:highlight w:val="none"/>
        </w:rPr>
        <w:t>二O二</w:t>
      </w:r>
      <w:r>
        <w:rPr>
          <w:rFonts w:hint="eastAsia" w:ascii="微软雅黑" w:hAnsi="微软雅黑" w:eastAsia="微软雅黑" w:cs="微软雅黑"/>
          <w:b/>
          <w:bCs/>
          <w:spacing w:val="-6"/>
          <w:sz w:val="40"/>
          <w:szCs w:val="40"/>
          <w:highlight w:val="none"/>
          <w:lang w:val="en-US" w:eastAsia="zh-CN"/>
        </w:rPr>
        <w:t>四</w:t>
      </w:r>
      <w:r>
        <w:rPr>
          <w:rFonts w:ascii="微软雅黑" w:hAnsi="微软雅黑" w:eastAsia="微软雅黑" w:cs="微软雅黑"/>
          <w:b/>
          <w:bCs/>
          <w:spacing w:val="-6"/>
          <w:sz w:val="40"/>
          <w:szCs w:val="40"/>
          <w:highlight w:val="none"/>
        </w:rPr>
        <w:t>年二月</w:t>
      </w:r>
    </w:p>
    <w:p w14:paraId="5026588B">
      <w:pPr>
        <w:spacing w:line="194" w:lineRule="auto"/>
        <w:rPr>
          <w:rFonts w:ascii="微软雅黑" w:hAnsi="微软雅黑" w:eastAsia="微软雅黑" w:cs="微软雅黑"/>
          <w:sz w:val="40"/>
          <w:szCs w:val="40"/>
          <w:highlight w:val="none"/>
        </w:rPr>
        <w:sectPr>
          <w:pgSz w:w="11907" w:h="16839"/>
          <w:pgMar w:top="1431" w:right="1671" w:bottom="0" w:left="1705" w:header="0" w:footer="0" w:gutter="0"/>
          <w:cols w:space="720" w:num="1"/>
        </w:sectPr>
      </w:pPr>
    </w:p>
    <w:sdt>
      <w:sdtPr>
        <w:rPr>
          <w:rFonts w:ascii="微软雅黑" w:hAnsi="微软雅黑" w:eastAsia="微软雅黑" w:cs="微软雅黑"/>
          <w:sz w:val="72"/>
          <w:szCs w:val="72"/>
          <w:highlight w:val="none"/>
        </w:rPr>
        <w:id w:val="1"/>
        <w:docPartObj>
          <w:docPartGallery w:val="Table of Contents"/>
          <w:docPartUnique/>
        </w:docPartObj>
      </w:sdtPr>
      <w:sdtEndPr>
        <w:rPr>
          <w:rFonts w:ascii="Calibri" w:hAnsi="Calibri" w:eastAsia="Calibri" w:cs="Calibri"/>
          <w:sz w:val="22"/>
          <w:szCs w:val="22"/>
          <w:highlight w:val="none"/>
        </w:rPr>
      </w:sdtEndPr>
      <w:sdtContent>
        <w:p w14:paraId="1B3891FC">
          <w:pPr>
            <w:spacing w:before="153" w:line="179" w:lineRule="auto"/>
            <w:ind w:left="4292"/>
            <w:rPr>
              <w:rFonts w:ascii="微软雅黑" w:hAnsi="微软雅黑" w:eastAsia="微软雅黑" w:cs="微软雅黑"/>
              <w:sz w:val="72"/>
              <w:szCs w:val="72"/>
              <w:highlight w:val="none"/>
            </w:rPr>
          </w:pPr>
          <w:r>
            <w:rPr>
              <w:rFonts w:ascii="微软雅黑" w:hAnsi="微软雅黑" w:eastAsia="微软雅黑" w:cs="微软雅黑"/>
              <w:b/>
              <w:bCs/>
              <w:spacing w:val="-21"/>
              <w:sz w:val="72"/>
              <w:szCs w:val="72"/>
              <w:highlight w:val="none"/>
            </w:rPr>
            <w:t>目录</w:t>
          </w:r>
        </w:p>
        <w:p w14:paraId="40D8CF47">
          <w:pPr>
            <w:tabs>
              <w:tab w:val="right" w:leader="dot" w:pos="9852"/>
            </w:tabs>
            <w:spacing w:before="220" w:line="235" w:lineRule="exact"/>
            <w:rPr>
              <w:rFonts w:ascii="微软雅黑" w:hAnsi="微软雅黑" w:eastAsia="微软雅黑" w:cs="微软雅黑"/>
              <w:sz w:val="22"/>
              <w:szCs w:val="22"/>
              <w:highlight w:val="none"/>
            </w:rPr>
          </w:pPr>
          <w:r>
            <w:rPr>
              <w:highlight w:val="none"/>
            </w:rPr>
            <w:fldChar w:fldCharType="begin"/>
          </w:r>
          <w:r>
            <w:rPr>
              <w:highlight w:val="none"/>
            </w:rPr>
            <w:instrText xml:space="preserve"> HYPERLINK \l "bookmark1" </w:instrText>
          </w:r>
          <w:r>
            <w:rPr>
              <w:highlight w:val="none"/>
            </w:rPr>
            <w:fldChar w:fldCharType="separate"/>
          </w:r>
          <w:r>
            <w:rPr>
              <w:rFonts w:ascii="微软雅黑" w:hAnsi="微软雅黑" w:eastAsia="微软雅黑" w:cs="微软雅黑"/>
              <w:b/>
              <w:bCs/>
              <w:spacing w:val="-1"/>
              <w:position w:val="-1"/>
              <w:sz w:val="22"/>
              <w:szCs w:val="22"/>
              <w:highlight w:val="none"/>
            </w:rPr>
            <w:t>关于本报告</w:t>
          </w:r>
          <w:r>
            <w:rPr>
              <w:rFonts w:ascii="微软雅黑" w:hAnsi="微软雅黑" w:eastAsia="微软雅黑" w:cs="微软雅黑"/>
              <w:b/>
              <w:bCs/>
              <w:position w:val="-1"/>
              <w:sz w:val="22"/>
              <w:szCs w:val="22"/>
              <w:highlight w:val="none"/>
            </w:rPr>
            <w:tab/>
          </w:r>
          <w:r>
            <w:rPr>
              <w:rFonts w:ascii="微软雅黑" w:hAnsi="微软雅黑" w:eastAsia="微软雅黑" w:cs="微软雅黑"/>
              <w:b/>
              <w:bCs/>
              <w:spacing w:val="5"/>
              <w:position w:val="-1"/>
              <w:sz w:val="22"/>
              <w:szCs w:val="22"/>
              <w:highlight w:val="none"/>
            </w:rPr>
            <w:t>3</w:t>
          </w:r>
          <w:r>
            <w:rPr>
              <w:rFonts w:ascii="微软雅黑" w:hAnsi="微软雅黑" w:eastAsia="微软雅黑" w:cs="微软雅黑"/>
              <w:b/>
              <w:bCs/>
              <w:spacing w:val="5"/>
              <w:position w:val="-1"/>
              <w:sz w:val="22"/>
              <w:szCs w:val="22"/>
              <w:highlight w:val="none"/>
            </w:rPr>
            <w:fldChar w:fldCharType="end"/>
          </w:r>
        </w:p>
        <w:p w14:paraId="4B13FC05">
          <w:pPr>
            <w:pStyle w:val="3"/>
            <w:spacing w:line="392" w:lineRule="auto"/>
            <w:rPr>
              <w:highlight w:val="none"/>
            </w:rPr>
          </w:pPr>
        </w:p>
        <w:p w14:paraId="62631C44">
          <w:pPr>
            <w:tabs>
              <w:tab w:val="right" w:leader="dot" w:pos="9852"/>
            </w:tabs>
            <w:spacing w:before="95" w:line="235" w:lineRule="exact"/>
            <w:ind w:left="5"/>
            <w:rPr>
              <w:rFonts w:ascii="微软雅黑" w:hAnsi="微软雅黑" w:eastAsia="微软雅黑" w:cs="微软雅黑"/>
              <w:sz w:val="22"/>
              <w:szCs w:val="22"/>
              <w:highlight w:val="none"/>
            </w:rPr>
          </w:pPr>
          <w:r>
            <w:rPr>
              <w:highlight w:val="none"/>
            </w:rPr>
            <w:fldChar w:fldCharType="begin"/>
          </w:r>
          <w:r>
            <w:rPr>
              <w:highlight w:val="none"/>
            </w:rPr>
            <w:instrText xml:space="preserve"> HYPERLINK \l "bookmark2" </w:instrText>
          </w:r>
          <w:r>
            <w:rPr>
              <w:highlight w:val="none"/>
            </w:rPr>
            <w:fldChar w:fldCharType="separate"/>
          </w:r>
          <w:r>
            <w:rPr>
              <w:rFonts w:ascii="微软雅黑" w:hAnsi="微软雅黑" w:eastAsia="微软雅黑" w:cs="微软雅黑"/>
              <w:b/>
              <w:bCs/>
              <w:spacing w:val="-2"/>
              <w:position w:val="-1"/>
              <w:sz w:val="22"/>
              <w:szCs w:val="22"/>
              <w:highlight w:val="none"/>
            </w:rPr>
            <w:t>董事长致辞</w:t>
          </w:r>
          <w:r>
            <w:rPr>
              <w:rFonts w:ascii="微软雅黑" w:hAnsi="微软雅黑" w:eastAsia="微软雅黑" w:cs="微软雅黑"/>
              <w:b/>
              <w:bCs/>
              <w:position w:val="-1"/>
              <w:sz w:val="22"/>
              <w:szCs w:val="22"/>
              <w:highlight w:val="none"/>
            </w:rPr>
            <w:tab/>
          </w:r>
          <w:r>
            <w:rPr>
              <w:rFonts w:ascii="微软雅黑" w:hAnsi="微软雅黑" w:eastAsia="微软雅黑" w:cs="微软雅黑"/>
              <w:b/>
              <w:bCs/>
              <w:spacing w:val="5"/>
              <w:position w:val="-1"/>
              <w:sz w:val="22"/>
              <w:szCs w:val="22"/>
              <w:highlight w:val="none"/>
            </w:rPr>
            <w:t>4</w:t>
          </w:r>
          <w:r>
            <w:rPr>
              <w:rFonts w:ascii="微软雅黑" w:hAnsi="微软雅黑" w:eastAsia="微软雅黑" w:cs="微软雅黑"/>
              <w:b/>
              <w:bCs/>
              <w:spacing w:val="5"/>
              <w:position w:val="-1"/>
              <w:sz w:val="22"/>
              <w:szCs w:val="22"/>
              <w:highlight w:val="none"/>
            </w:rPr>
            <w:fldChar w:fldCharType="end"/>
          </w:r>
        </w:p>
        <w:p w14:paraId="5DB65982">
          <w:pPr>
            <w:pStyle w:val="3"/>
            <w:spacing w:line="392" w:lineRule="auto"/>
            <w:rPr>
              <w:highlight w:val="none"/>
            </w:rPr>
          </w:pPr>
        </w:p>
        <w:p w14:paraId="1B73A5E7">
          <w:pPr>
            <w:tabs>
              <w:tab w:val="right" w:leader="dot" w:pos="9852"/>
            </w:tabs>
            <w:spacing w:before="95" w:line="235" w:lineRule="exact"/>
            <w:rPr>
              <w:rFonts w:ascii="微软雅黑" w:hAnsi="微软雅黑" w:eastAsia="微软雅黑" w:cs="微软雅黑"/>
              <w:sz w:val="22"/>
              <w:szCs w:val="22"/>
              <w:highlight w:val="none"/>
            </w:rPr>
          </w:pPr>
          <w:r>
            <w:rPr>
              <w:highlight w:val="none"/>
            </w:rPr>
            <w:fldChar w:fldCharType="begin"/>
          </w:r>
          <w:r>
            <w:rPr>
              <w:highlight w:val="none"/>
            </w:rPr>
            <w:instrText xml:space="preserve"> HYPERLINK \l "bookmark3" </w:instrText>
          </w:r>
          <w:r>
            <w:rPr>
              <w:highlight w:val="none"/>
            </w:rPr>
            <w:fldChar w:fldCharType="separate"/>
          </w:r>
          <w:r>
            <w:rPr>
              <w:rFonts w:ascii="微软雅黑" w:hAnsi="微软雅黑" w:eastAsia="微软雅黑" w:cs="微软雅黑"/>
              <w:b/>
              <w:bCs/>
              <w:spacing w:val="-1"/>
              <w:position w:val="-1"/>
              <w:sz w:val="22"/>
              <w:szCs w:val="22"/>
              <w:highlight w:val="none"/>
            </w:rPr>
            <w:t>关于</w:t>
          </w:r>
          <w:r>
            <w:rPr>
              <w:rFonts w:hint="eastAsia" w:ascii="微软雅黑" w:hAnsi="微软雅黑" w:eastAsia="微软雅黑" w:cs="微软雅黑"/>
              <w:b/>
              <w:bCs/>
              <w:spacing w:val="-1"/>
              <w:position w:val="-1"/>
              <w:sz w:val="22"/>
              <w:szCs w:val="22"/>
              <w:highlight w:val="none"/>
              <w:lang w:eastAsia="zh-CN"/>
            </w:rPr>
            <w:t>安徽美信</w:t>
          </w:r>
          <w:r>
            <w:rPr>
              <w:rFonts w:ascii="微软雅黑" w:hAnsi="微软雅黑" w:eastAsia="微软雅黑" w:cs="微软雅黑"/>
              <w:b/>
              <w:bCs/>
              <w:position w:val="-1"/>
              <w:sz w:val="22"/>
              <w:szCs w:val="22"/>
              <w:highlight w:val="none"/>
            </w:rPr>
            <w:tab/>
          </w:r>
          <w:r>
            <w:rPr>
              <w:rFonts w:ascii="微软雅黑" w:hAnsi="微软雅黑" w:eastAsia="微软雅黑" w:cs="微软雅黑"/>
              <w:b/>
              <w:bCs/>
              <w:spacing w:val="5"/>
              <w:position w:val="-1"/>
              <w:sz w:val="22"/>
              <w:szCs w:val="22"/>
              <w:highlight w:val="none"/>
            </w:rPr>
            <w:t>5</w:t>
          </w:r>
          <w:r>
            <w:rPr>
              <w:rFonts w:ascii="微软雅黑" w:hAnsi="微软雅黑" w:eastAsia="微软雅黑" w:cs="微软雅黑"/>
              <w:b/>
              <w:bCs/>
              <w:spacing w:val="5"/>
              <w:position w:val="-1"/>
              <w:sz w:val="22"/>
              <w:szCs w:val="22"/>
              <w:highlight w:val="none"/>
            </w:rPr>
            <w:fldChar w:fldCharType="end"/>
          </w:r>
        </w:p>
        <w:p w14:paraId="6128E843">
          <w:pPr>
            <w:pStyle w:val="3"/>
            <w:spacing w:line="390" w:lineRule="auto"/>
            <w:rPr>
              <w:highlight w:val="none"/>
            </w:rPr>
          </w:pPr>
        </w:p>
        <w:p w14:paraId="0049C54D">
          <w:pPr>
            <w:tabs>
              <w:tab w:val="right" w:leader="dot" w:pos="9852"/>
            </w:tabs>
            <w:spacing w:before="94" w:line="236" w:lineRule="exact"/>
            <w:ind w:left="1"/>
            <w:rPr>
              <w:rFonts w:ascii="微软雅黑" w:hAnsi="微软雅黑" w:eastAsia="微软雅黑" w:cs="微软雅黑"/>
              <w:sz w:val="22"/>
              <w:szCs w:val="22"/>
              <w:highlight w:val="none"/>
            </w:rPr>
          </w:pPr>
          <w:r>
            <w:rPr>
              <w:highlight w:val="none"/>
            </w:rPr>
            <w:fldChar w:fldCharType="begin"/>
          </w:r>
          <w:r>
            <w:rPr>
              <w:highlight w:val="none"/>
            </w:rPr>
            <w:instrText xml:space="preserve"> HYPERLINK \l "bookmark4" </w:instrText>
          </w:r>
          <w:r>
            <w:rPr>
              <w:highlight w:val="none"/>
            </w:rPr>
            <w:fldChar w:fldCharType="separate"/>
          </w:r>
          <w:r>
            <w:rPr>
              <w:rFonts w:ascii="微软雅黑" w:hAnsi="微软雅黑" w:eastAsia="微软雅黑" w:cs="微软雅黑"/>
              <w:b/>
              <w:bCs/>
              <w:spacing w:val="-1"/>
              <w:position w:val="-1"/>
              <w:sz w:val="22"/>
              <w:szCs w:val="22"/>
              <w:highlight w:val="none"/>
            </w:rPr>
            <w:t>公司可持续发展管理</w:t>
          </w:r>
          <w:r>
            <w:rPr>
              <w:rFonts w:ascii="微软雅黑" w:hAnsi="微软雅黑" w:eastAsia="微软雅黑" w:cs="微软雅黑"/>
              <w:b/>
              <w:bCs/>
              <w:position w:val="-1"/>
              <w:sz w:val="22"/>
              <w:szCs w:val="22"/>
              <w:highlight w:val="none"/>
            </w:rPr>
            <w:tab/>
          </w:r>
          <w:r>
            <w:rPr>
              <w:rFonts w:ascii="微软雅黑" w:hAnsi="微软雅黑" w:eastAsia="微软雅黑" w:cs="微软雅黑"/>
              <w:b/>
              <w:bCs/>
              <w:spacing w:val="5"/>
              <w:position w:val="-1"/>
              <w:sz w:val="22"/>
              <w:szCs w:val="22"/>
              <w:highlight w:val="none"/>
            </w:rPr>
            <w:t>6</w:t>
          </w:r>
          <w:r>
            <w:rPr>
              <w:rFonts w:ascii="微软雅黑" w:hAnsi="微软雅黑" w:eastAsia="微软雅黑" w:cs="微软雅黑"/>
              <w:b/>
              <w:bCs/>
              <w:spacing w:val="5"/>
              <w:position w:val="-1"/>
              <w:sz w:val="22"/>
              <w:szCs w:val="22"/>
              <w:highlight w:val="none"/>
            </w:rPr>
            <w:fldChar w:fldCharType="end"/>
          </w:r>
        </w:p>
        <w:p w14:paraId="0B07DCC4">
          <w:pPr>
            <w:pStyle w:val="3"/>
            <w:spacing w:line="393" w:lineRule="auto"/>
            <w:rPr>
              <w:highlight w:val="none"/>
            </w:rPr>
          </w:pPr>
        </w:p>
        <w:p w14:paraId="0ECF01AB">
          <w:pPr>
            <w:tabs>
              <w:tab w:val="right" w:leader="dot" w:pos="9854"/>
            </w:tabs>
            <w:spacing w:before="94" w:line="236" w:lineRule="exact"/>
            <w:ind w:left="241"/>
            <w:rPr>
              <w:rFonts w:ascii="Calibri" w:hAnsi="Calibri" w:eastAsia="Calibri" w:cs="Calibri"/>
              <w:sz w:val="22"/>
              <w:szCs w:val="22"/>
              <w:highlight w:val="none"/>
            </w:rPr>
          </w:pPr>
          <w:r>
            <w:rPr>
              <w:highlight w:val="none"/>
            </w:rPr>
            <w:fldChar w:fldCharType="begin"/>
          </w:r>
          <w:r>
            <w:rPr>
              <w:highlight w:val="none"/>
            </w:rPr>
            <w:instrText xml:space="preserve"> HYPERLINK \l "bookmark5" </w:instrText>
          </w:r>
          <w:r>
            <w:rPr>
              <w:highlight w:val="none"/>
            </w:rPr>
            <w:fldChar w:fldCharType="separate"/>
          </w:r>
          <w:r>
            <w:rPr>
              <w:rFonts w:ascii="微软雅黑" w:hAnsi="微软雅黑" w:eastAsia="微软雅黑" w:cs="微软雅黑"/>
              <w:spacing w:val="-3"/>
              <w:position w:val="-1"/>
              <w:sz w:val="22"/>
              <w:szCs w:val="22"/>
              <w:highlight w:val="none"/>
            </w:rPr>
            <w:t>1、可持续发展理念</w:t>
          </w:r>
          <w:r>
            <w:rPr>
              <w:rFonts w:ascii="微软雅黑" w:hAnsi="微软雅黑" w:eastAsia="微软雅黑" w:cs="微软雅黑"/>
              <w:position w:val="-1"/>
              <w:sz w:val="22"/>
              <w:szCs w:val="22"/>
              <w:highlight w:val="none"/>
            </w:rPr>
            <w:tab/>
          </w:r>
          <w:r>
            <w:rPr>
              <w:rFonts w:ascii="Calibri" w:hAnsi="Calibri" w:eastAsia="Calibri" w:cs="Calibri"/>
              <w:position w:val="-1"/>
              <w:sz w:val="22"/>
              <w:szCs w:val="22"/>
              <w:highlight w:val="none"/>
            </w:rPr>
            <w:t>6</w:t>
          </w:r>
          <w:r>
            <w:rPr>
              <w:rFonts w:ascii="Calibri" w:hAnsi="Calibri" w:eastAsia="Calibri" w:cs="Calibri"/>
              <w:position w:val="-1"/>
              <w:sz w:val="22"/>
              <w:szCs w:val="22"/>
              <w:highlight w:val="none"/>
            </w:rPr>
            <w:fldChar w:fldCharType="end"/>
          </w:r>
        </w:p>
        <w:p w14:paraId="33E4C7CA">
          <w:pPr>
            <w:pStyle w:val="3"/>
            <w:spacing w:line="392" w:lineRule="auto"/>
            <w:rPr>
              <w:highlight w:val="none"/>
            </w:rPr>
          </w:pPr>
        </w:p>
        <w:p w14:paraId="2B278083">
          <w:pPr>
            <w:tabs>
              <w:tab w:val="right" w:leader="dot" w:pos="9854"/>
            </w:tabs>
            <w:spacing w:before="95" w:line="235" w:lineRule="exact"/>
            <w:ind w:left="230"/>
            <w:rPr>
              <w:rFonts w:ascii="Calibri" w:hAnsi="Calibri" w:eastAsia="Calibri" w:cs="Calibri"/>
              <w:sz w:val="22"/>
              <w:szCs w:val="22"/>
              <w:highlight w:val="none"/>
            </w:rPr>
          </w:pPr>
          <w:r>
            <w:rPr>
              <w:highlight w:val="none"/>
            </w:rPr>
            <w:fldChar w:fldCharType="begin"/>
          </w:r>
          <w:r>
            <w:rPr>
              <w:highlight w:val="none"/>
            </w:rPr>
            <w:instrText xml:space="preserve"> HYPERLINK \l "bookmark6" </w:instrText>
          </w:r>
          <w:r>
            <w:rPr>
              <w:highlight w:val="none"/>
            </w:rPr>
            <w:fldChar w:fldCharType="separate"/>
          </w:r>
          <w:r>
            <w:rPr>
              <w:rFonts w:ascii="微软雅黑" w:hAnsi="微软雅黑" w:eastAsia="微软雅黑" w:cs="微软雅黑"/>
              <w:spacing w:val="-2"/>
              <w:position w:val="-1"/>
              <w:sz w:val="22"/>
              <w:szCs w:val="22"/>
              <w:highlight w:val="none"/>
            </w:rPr>
            <w:t>2、技术创新</w:t>
          </w:r>
          <w:r>
            <w:rPr>
              <w:rFonts w:ascii="微软雅黑" w:hAnsi="微软雅黑" w:eastAsia="微软雅黑" w:cs="微软雅黑"/>
              <w:position w:val="-1"/>
              <w:sz w:val="22"/>
              <w:szCs w:val="22"/>
              <w:highlight w:val="none"/>
            </w:rPr>
            <w:tab/>
          </w:r>
          <w:r>
            <w:rPr>
              <w:rFonts w:ascii="Calibri" w:hAnsi="Calibri" w:eastAsia="Calibri" w:cs="Calibri"/>
              <w:position w:val="-1"/>
              <w:sz w:val="22"/>
              <w:szCs w:val="22"/>
              <w:highlight w:val="none"/>
            </w:rPr>
            <w:t>6</w:t>
          </w:r>
          <w:r>
            <w:rPr>
              <w:rFonts w:ascii="Calibri" w:hAnsi="Calibri" w:eastAsia="Calibri" w:cs="Calibri"/>
              <w:position w:val="-1"/>
              <w:sz w:val="22"/>
              <w:szCs w:val="22"/>
              <w:highlight w:val="none"/>
            </w:rPr>
            <w:fldChar w:fldCharType="end"/>
          </w:r>
        </w:p>
        <w:p w14:paraId="1ECD46C6">
          <w:pPr>
            <w:pStyle w:val="3"/>
            <w:spacing w:line="390" w:lineRule="auto"/>
            <w:rPr>
              <w:highlight w:val="none"/>
            </w:rPr>
          </w:pPr>
        </w:p>
        <w:p w14:paraId="56E5F38B">
          <w:pPr>
            <w:tabs>
              <w:tab w:val="right" w:leader="dot" w:pos="9854"/>
            </w:tabs>
            <w:spacing w:before="95" w:line="235" w:lineRule="exact"/>
            <w:ind w:left="233"/>
            <w:rPr>
              <w:rFonts w:ascii="Calibri" w:hAnsi="Calibri" w:eastAsia="Calibri" w:cs="Calibri"/>
              <w:sz w:val="22"/>
              <w:szCs w:val="22"/>
              <w:highlight w:val="none"/>
            </w:rPr>
          </w:pPr>
          <w:r>
            <w:rPr>
              <w:highlight w:val="none"/>
            </w:rPr>
            <w:fldChar w:fldCharType="begin"/>
          </w:r>
          <w:r>
            <w:rPr>
              <w:highlight w:val="none"/>
            </w:rPr>
            <w:instrText xml:space="preserve"> HYPERLINK \l "bookmark7" </w:instrText>
          </w:r>
          <w:r>
            <w:rPr>
              <w:highlight w:val="none"/>
            </w:rPr>
            <w:fldChar w:fldCharType="separate"/>
          </w:r>
          <w:r>
            <w:rPr>
              <w:rFonts w:ascii="微软雅黑" w:hAnsi="微软雅黑" w:eastAsia="微软雅黑" w:cs="微软雅黑"/>
              <w:spacing w:val="-3"/>
              <w:position w:val="-1"/>
              <w:sz w:val="22"/>
              <w:szCs w:val="22"/>
              <w:highlight w:val="none"/>
            </w:rPr>
            <w:t>3、质量第一</w:t>
          </w:r>
          <w:r>
            <w:rPr>
              <w:rFonts w:ascii="微软雅黑" w:hAnsi="微软雅黑" w:eastAsia="微软雅黑" w:cs="微软雅黑"/>
              <w:position w:val="-1"/>
              <w:sz w:val="22"/>
              <w:szCs w:val="22"/>
              <w:highlight w:val="none"/>
            </w:rPr>
            <w:tab/>
          </w:r>
          <w:r>
            <w:rPr>
              <w:rFonts w:ascii="Calibri" w:hAnsi="Calibri" w:eastAsia="Calibri" w:cs="Calibri"/>
              <w:position w:val="-1"/>
              <w:sz w:val="22"/>
              <w:szCs w:val="22"/>
              <w:highlight w:val="none"/>
            </w:rPr>
            <w:t>6</w:t>
          </w:r>
          <w:r>
            <w:rPr>
              <w:rFonts w:ascii="Calibri" w:hAnsi="Calibri" w:eastAsia="Calibri" w:cs="Calibri"/>
              <w:position w:val="-1"/>
              <w:sz w:val="22"/>
              <w:szCs w:val="22"/>
              <w:highlight w:val="none"/>
            </w:rPr>
            <w:fldChar w:fldCharType="end"/>
          </w:r>
        </w:p>
        <w:p w14:paraId="33059F86">
          <w:pPr>
            <w:pStyle w:val="3"/>
            <w:spacing w:line="392" w:lineRule="auto"/>
            <w:rPr>
              <w:highlight w:val="none"/>
            </w:rPr>
          </w:pPr>
        </w:p>
        <w:p w14:paraId="0EE07D57">
          <w:pPr>
            <w:tabs>
              <w:tab w:val="right" w:leader="dot" w:pos="9854"/>
            </w:tabs>
            <w:spacing w:before="95" w:line="235" w:lineRule="exact"/>
            <w:ind w:left="219"/>
            <w:rPr>
              <w:rFonts w:ascii="Calibri" w:hAnsi="Calibri" w:eastAsia="Calibri" w:cs="Calibri"/>
              <w:sz w:val="22"/>
              <w:szCs w:val="22"/>
              <w:highlight w:val="none"/>
            </w:rPr>
          </w:pPr>
          <w:r>
            <w:rPr>
              <w:highlight w:val="none"/>
            </w:rPr>
            <w:fldChar w:fldCharType="begin"/>
          </w:r>
          <w:r>
            <w:rPr>
              <w:highlight w:val="none"/>
            </w:rPr>
            <w:instrText xml:space="preserve"> HYPERLINK \l "bookmark8" </w:instrText>
          </w:r>
          <w:r>
            <w:rPr>
              <w:highlight w:val="none"/>
            </w:rPr>
            <w:fldChar w:fldCharType="separate"/>
          </w:r>
          <w:r>
            <w:rPr>
              <w:rFonts w:ascii="微软雅黑" w:hAnsi="微软雅黑" w:eastAsia="微软雅黑" w:cs="微软雅黑"/>
              <w:position w:val="-1"/>
              <w:sz w:val="22"/>
              <w:szCs w:val="22"/>
              <w:highlight w:val="none"/>
            </w:rPr>
            <w:t>4、安环优先</w:t>
          </w:r>
          <w:r>
            <w:rPr>
              <w:rFonts w:ascii="微软雅黑" w:hAnsi="微软雅黑" w:eastAsia="微软雅黑" w:cs="微软雅黑"/>
              <w:position w:val="-1"/>
              <w:sz w:val="22"/>
              <w:szCs w:val="22"/>
              <w:highlight w:val="none"/>
            </w:rPr>
            <w:tab/>
          </w:r>
          <w:r>
            <w:rPr>
              <w:rFonts w:ascii="Calibri" w:hAnsi="Calibri" w:eastAsia="Calibri" w:cs="Calibri"/>
              <w:position w:val="-1"/>
              <w:sz w:val="22"/>
              <w:szCs w:val="22"/>
              <w:highlight w:val="none"/>
            </w:rPr>
            <w:t>7</w:t>
          </w:r>
          <w:r>
            <w:rPr>
              <w:rFonts w:ascii="Calibri" w:hAnsi="Calibri" w:eastAsia="Calibri" w:cs="Calibri"/>
              <w:position w:val="-1"/>
              <w:sz w:val="22"/>
              <w:szCs w:val="22"/>
              <w:highlight w:val="none"/>
            </w:rPr>
            <w:fldChar w:fldCharType="end"/>
          </w:r>
        </w:p>
        <w:p w14:paraId="7E5D6BE8">
          <w:pPr>
            <w:pStyle w:val="3"/>
            <w:spacing w:line="392" w:lineRule="auto"/>
            <w:rPr>
              <w:highlight w:val="none"/>
            </w:rPr>
          </w:pPr>
        </w:p>
        <w:p w14:paraId="1BC8DA1B">
          <w:pPr>
            <w:tabs>
              <w:tab w:val="right" w:leader="dot" w:pos="9854"/>
            </w:tabs>
            <w:spacing w:before="96" w:line="235" w:lineRule="exact"/>
            <w:ind w:left="236"/>
            <w:rPr>
              <w:rFonts w:ascii="Calibri" w:hAnsi="Calibri" w:eastAsia="Calibri" w:cs="Calibri"/>
              <w:sz w:val="22"/>
              <w:szCs w:val="22"/>
              <w:highlight w:val="none"/>
            </w:rPr>
          </w:pPr>
          <w:r>
            <w:rPr>
              <w:highlight w:val="none"/>
            </w:rPr>
            <w:fldChar w:fldCharType="begin"/>
          </w:r>
          <w:r>
            <w:rPr>
              <w:highlight w:val="none"/>
            </w:rPr>
            <w:instrText xml:space="preserve"> HYPERLINK \l "bookmark9" </w:instrText>
          </w:r>
          <w:r>
            <w:rPr>
              <w:highlight w:val="none"/>
            </w:rPr>
            <w:fldChar w:fldCharType="separate"/>
          </w:r>
          <w:r>
            <w:rPr>
              <w:rFonts w:ascii="微软雅黑" w:hAnsi="微软雅黑" w:eastAsia="微软雅黑" w:cs="微软雅黑"/>
              <w:spacing w:val="-3"/>
              <w:position w:val="-1"/>
              <w:sz w:val="22"/>
              <w:szCs w:val="22"/>
              <w:highlight w:val="none"/>
            </w:rPr>
            <w:t>5、合规经营</w:t>
          </w:r>
          <w:r>
            <w:rPr>
              <w:rFonts w:ascii="微软雅黑" w:hAnsi="微软雅黑" w:eastAsia="微软雅黑" w:cs="微软雅黑"/>
              <w:position w:val="-1"/>
              <w:sz w:val="22"/>
              <w:szCs w:val="22"/>
              <w:highlight w:val="none"/>
            </w:rPr>
            <w:tab/>
          </w:r>
          <w:r>
            <w:rPr>
              <w:rFonts w:ascii="Calibri" w:hAnsi="Calibri" w:eastAsia="Calibri" w:cs="Calibri"/>
              <w:position w:val="-1"/>
              <w:sz w:val="22"/>
              <w:szCs w:val="22"/>
              <w:highlight w:val="none"/>
            </w:rPr>
            <w:t>7</w:t>
          </w:r>
          <w:r>
            <w:rPr>
              <w:rFonts w:ascii="Calibri" w:hAnsi="Calibri" w:eastAsia="Calibri" w:cs="Calibri"/>
              <w:position w:val="-1"/>
              <w:sz w:val="22"/>
              <w:szCs w:val="22"/>
              <w:highlight w:val="none"/>
            </w:rPr>
            <w:fldChar w:fldCharType="end"/>
          </w:r>
        </w:p>
        <w:p w14:paraId="7D16D89C">
          <w:pPr>
            <w:pStyle w:val="3"/>
            <w:spacing w:line="390" w:lineRule="auto"/>
            <w:rPr>
              <w:highlight w:val="none"/>
            </w:rPr>
          </w:pPr>
        </w:p>
        <w:p w14:paraId="7F30A8AF">
          <w:pPr>
            <w:tabs>
              <w:tab w:val="right" w:leader="dot" w:pos="9854"/>
            </w:tabs>
            <w:spacing w:before="95" w:line="235" w:lineRule="exact"/>
            <w:ind w:left="230"/>
            <w:rPr>
              <w:rFonts w:ascii="Calibri" w:hAnsi="Calibri" w:eastAsia="Calibri" w:cs="Calibri"/>
              <w:sz w:val="22"/>
              <w:szCs w:val="22"/>
              <w:highlight w:val="none"/>
            </w:rPr>
          </w:pPr>
          <w:r>
            <w:rPr>
              <w:highlight w:val="none"/>
            </w:rPr>
            <w:fldChar w:fldCharType="begin"/>
          </w:r>
          <w:r>
            <w:rPr>
              <w:highlight w:val="none"/>
            </w:rPr>
            <w:instrText xml:space="preserve"> HYPERLINK \l "bookmark10" </w:instrText>
          </w:r>
          <w:r>
            <w:rPr>
              <w:highlight w:val="none"/>
            </w:rPr>
            <w:fldChar w:fldCharType="separate"/>
          </w:r>
          <w:r>
            <w:rPr>
              <w:rFonts w:ascii="微软雅黑" w:hAnsi="微软雅黑" w:eastAsia="微软雅黑" w:cs="微软雅黑"/>
              <w:spacing w:val="-1"/>
              <w:position w:val="-1"/>
              <w:sz w:val="22"/>
              <w:szCs w:val="22"/>
              <w:highlight w:val="none"/>
            </w:rPr>
            <w:t>6、持续强化反腐败和反商业贿赂管理体系建设</w:t>
          </w:r>
          <w:r>
            <w:rPr>
              <w:rFonts w:ascii="微软雅黑" w:hAnsi="微软雅黑" w:eastAsia="微软雅黑" w:cs="微软雅黑"/>
              <w:position w:val="-1"/>
              <w:sz w:val="22"/>
              <w:szCs w:val="22"/>
              <w:highlight w:val="none"/>
            </w:rPr>
            <w:tab/>
          </w:r>
          <w:r>
            <w:rPr>
              <w:rFonts w:ascii="Calibri" w:hAnsi="Calibri" w:eastAsia="Calibri" w:cs="Calibri"/>
              <w:position w:val="-1"/>
              <w:sz w:val="22"/>
              <w:szCs w:val="22"/>
              <w:highlight w:val="none"/>
            </w:rPr>
            <w:t>8</w:t>
          </w:r>
          <w:r>
            <w:rPr>
              <w:rFonts w:ascii="Calibri" w:hAnsi="Calibri" w:eastAsia="Calibri" w:cs="Calibri"/>
              <w:position w:val="-1"/>
              <w:sz w:val="22"/>
              <w:szCs w:val="22"/>
              <w:highlight w:val="none"/>
            </w:rPr>
            <w:fldChar w:fldCharType="end"/>
          </w:r>
        </w:p>
        <w:p w14:paraId="4A38B597">
          <w:pPr>
            <w:pStyle w:val="3"/>
            <w:spacing w:line="392" w:lineRule="auto"/>
            <w:rPr>
              <w:highlight w:val="none"/>
            </w:rPr>
          </w:pPr>
        </w:p>
        <w:p w14:paraId="3F1DBFBD">
          <w:pPr>
            <w:tabs>
              <w:tab w:val="right" w:leader="dot" w:pos="9852"/>
            </w:tabs>
            <w:spacing w:before="95" w:line="235" w:lineRule="exact"/>
            <w:rPr>
              <w:rFonts w:ascii="微软雅黑" w:hAnsi="微软雅黑" w:eastAsia="微软雅黑" w:cs="微软雅黑"/>
              <w:sz w:val="22"/>
              <w:szCs w:val="22"/>
              <w:highlight w:val="none"/>
            </w:rPr>
          </w:pPr>
          <w:r>
            <w:rPr>
              <w:highlight w:val="none"/>
            </w:rPr>
            <w:fldChar w:fldCharType="begin"/>
          </w:r>
          <w:r>
            <w:rPr>
              <w:highlight w:val="none"/>
            </w:rPr>
            <w:instrText xml:space="preserve"> HYPERLINK \l "bookmark11" </w:instrText>
          </w:r>
          <w:r>
            <w:rPr>
              <w:highlight w:val="none"/>
            </w:rPr>
            <w:fldChar w:fldCharType="separate"/>
          </w:r>
          <w:r>
            <w:rPr>
              <w:rFonts w:ascii="微软雅黑" w:hAnsi="微软雅黑" w:eastAsia="微软雅黑" w:cs="微软雅黑"/>
              <w:b/>
              <w:bCs/>
              <w:spacing w:val="-1"/>
              <w:position w:val="-1"/>
              <w:sz w:val="22"/>
              <w:szCs w:val="22"/>
              <w:highlight w:val="none"/>
            </w:rPr>
            <w:t>职业健康与安全管理体系成效</w:t>
          </w:r>
          <w:r>
            <w:rPr>
              <w:rFonts w:ascii="微软雅黑" w:hAnsi="微软雅黑" w:eastAsia="微软雅黑" w:cs="微软雅黑"/>
              <w:b/>
              <w:bCs/>
              <w:position w:val="-1"/>
              <w:sz w:val="22"/>
              <w:szCs w:val="22"/>
              <w:highlight w:val="none"/>
            </w:rPr>
            <w:tab/>
          </w:r>
          <w:r>
            <w:rPr>
              <w:rFonts w:ascii="微软雅黑" w:hAnsi="微软雅黑" w:eastAsia="微软雅黑" w:cs="微软雅黑"/>
              <w:b/>
              <w:bCs/>
              <w:spacing w:val="5"/>
              <w:position w:val="-1"/>
              <w:sz w:val="22"/>
              <w:szCs w:val="22"/>
              <w:highlight w:val="none"/>
            </w:rPr>
            <w:t>9</w:t>
          </w:r>
          <w:r>
            <w:rPr>
              <w:rFonts w:ascii="微软雅黑" w:hAnsi="微软雅黑" w:eastAsia="微软雅黑" w:cs="微软雅黑"/>
              <w:b/>
              <w:bCs/>
              <w:spacing w:val="5"/>
              <w:position w:val="-1"/>
              <w:sz w:val="22"/>
              <w:szCs w:val="22"/>
              <w:highlight w:val="none"/>
            </w:rPr>
            <w:fldChar w:fldCharType="end"/>
          </w:r>
        </w:p>
        <w:p w14:paraId="1517DAAC">
          <w:pPr>
            <w:pStyle w:val="3"/>
            <w:spacing w:line="392" w:lineRule="auto"/>
            <w:rPr>
              <w:highlight w:val="none"/>
            </w:rPr>
          </w:pPr>
        </w:p>
        <w:p w14:paraId="2E9D75BD">
          <w:pPr>
            <w:tabs>
              <w:tab w:val="right" w:leader="dot" w:pos="9854"/>
            </w:tabs>
            <w:spacing w:before="96" w:line="235" w:lineRule="exact"/>
            <w:ind w:left="241"/>
            <w:rPr>
              <w:rFonts w:ascii="Calibri" w:hAnsi="Calibri" w:eastAsia="Calibri" w:cs="Calibri"/>
              <w:sz w:val="22"/>
              <w:szCs w:val="22"/>
              <w:highlight w:val="none"/>
            </w:rPr>
          </w:pPr>
          <w:r>
            <w:rPr>
              <w:highlight w:val="none"/>
            </w:rPr>
            <w:fldChar w:fldCharType="begin"/>
          </w:r>
          <w:r>
            <w:rPr>
              <w:highlight w:val="none"/>
            </w:rPr>
            <w:instrText xml:space="preserve"> HYPERLINK \l "bookmark12" </w:instrText>
          </w:r>
          <w:r>
            <w:rPr>
              <w:highlight w:val="none"/>
            </w:rPr>
            <w:fldChar w:fldCharType="separate"/>
          </w:r>
          <w:r>
            <w:rPr>
              <w:rFonts w:ascii="微软雅黑" w:hAnsi="微软雅黑" w:eastAsia="微软雅黑" w:cs="微软雅黑"/>
              <w:spacing w:val="-2"/>
              <w:position w:val="-1"/>
              <w:sz w:val="22"/>
              <w:szCs w:val="22"/>
              <w:highlight w:val="none"/>
            </w:rPr>
            <w:t>1、职业健康与安全管理体系</w:t>
          </w:r>
          <w:r>
            <w:rPr>
              <w:rFonts w:ascii="微软雅黑" w:hAnsi="微软雅黑" w:eastAsia="微软雅黑" w:cs="微软雅黑"/>
              <w:position w:val="-1"/>
              <w:sz w:val="22"/>
              <w:szCs w:val="22"/>
              <w:highlight w:val="none"/>
            </w:rPr>
            <w:tab/>
          </w:r>
          <w:r>
            <w:rPr>
              <w:rFonts w:ascii="Calibri" w:hAnsi="Calibri" w:eastAsia="Calibri" w:cs="Calibri"/>
              <w:position w:val="-1"/>
              <w:sz w:val="22"/>
              <w:szCs w:val="22"/>
              <w:highlight w:val="none"/>
            </w:rPr>
            <w:t>9</w:t>
          </w:r>
          <w:r>
            <w:rPr>
              <w:rFonts w:ascii="Calibri" w:hAnsi="Calibri" w:eastAsia="Calibri" w:cs="Calibri"/>
              <w:position w:val="-1"/>
              <w:sz w:val="22"/>
              <w:szCs w:val="22"/>
              <w:highlight w:val="none"/>
            </w:rPr>
            <w:fldChar w:fldCharType="end"/>
          </w:r>
        </w:p>
        <w:p w14:paraId="593649FC">
          <w:pPr>
            <w:pStyle w:val="3"/>
            <w:spacing w:line="390" w:lineRule="auto"/>
            <w:rPr>
              <w:highlight w:val="none"/>
            </w:rPr>
          </w:pPr>
        </w:p>
        <w:p w14:paraId="217879A5">
          <w:pPr>
            <w:tabs>
              <w:tab w:val="right" w:leader="dot" w:pos="9854"/>
            </w:tabs>
            <w:spacing w:before="95" w:line="235" w:lineRule="exact"/>
            <w:ind w:left="230"/>
            <w:rPr>
              <w:rFonts w:ascii="Calibri" w:hAnsi="Calibri" w:eastAsia="Calibri" w:cs="Calibri"/>
              <w:sz w:val="22"/>
              <w:szCs w:val="22"/>
              <w:highlight w:val="none"/>
            </w:rPr>
          </w:pPr>
          <w:r>
            <w:rPr>
              <w:highlight w:val="none"/>
            </w:rPr>
            <w:fldChar w:fldCharType="begin"/>
          </w:r>
          <w:r>
            <w:rPr>
              <w:highlight w:val="none"/>
            </w:rPr>
            <w:instrText xml:space="preserve"> HYPERLINK \l "bookmark13" </w:instrText>
          </w:r>
          <w:r>
            <w:rPr>
              <w:highlight w:val="none"/>
            </w:rPr>
            <w:fldChar w:fldCharType="separate"/>
          </w:r>
          <w:r>
            <w:rPr>
              <w:rFonts w:ascii="微软雅黑" w:hAnsi="微软雅黑" w:eastAsia="微软雅黑" w:cs="微软雅黑"/>
              <w:spacing w:val="-1"/>
              <w:position w:val="-1"/>
              <w:sz w:val="22"/>
              <w:szCs w:val="22"/>
              <w:highlight w:val="none"/>
            </w:rPr>
            <w:t>2、危害识别、风险评估和事故调查</w:t>
          </w:r>
          <w:r>
            <w:rPr>
              <w:rFonts w:ascii="微软雅黑" w:hAnsi="微软雅黑" w:eastAsia="微软雅黑" w:cs="微软雅黑"/>
              <w:position w:val="-1"/>
              <w:sz w:val="22"/>
              <w:szCs w:val="22"/>
              <w:highlight w:val="none"/>
            </w:rPr>
            <w:tab/>
          </w:r>
          <w:r>
            <w:rPr>
              <w:rFonts w:ascii="Calibri" w:hAnsi="Calibri" w:eastAsia="Calibri" w:cs="Calibri"/>
              <w:position w:val="-1"/>
              <w:sz w:val="22"/>
              <w:szCs w:val="22"/>
              <w:highlight w:val="none"/>
            </w:rPr>
            <w:t>9</w:t>
          </w:r>
          <w:r>
            <w:rPr>
              <w:rFonts w:ascii="Calibri" w:hAnsi="Calibri" w:eastAsia="Calibri" w:cs="Calibri"/>
              <w:position w:val="-1"/>
              <w:sz w:val="22"/>
              <w:szCs w:val="22"/>
              <w:highlight w:val="none"/>
            </w:rPr>
            <w:fldChar w:fldCharType="end"/>
          </w:r>
        </w:p>
        <w:p w14:paraId="6DA25D37">
          <w:pPr>
            <w:pStyle w:val="3"/>
            <w:spacing w:line="392" w:lineRule="auto"/>
            <w:rPr>
              <w:highlight w:val="none"/>
            </w:rPr>
          </w:pPr>
        </w:p>
        <w:p w14:paraId="181A7AC8">
          <w:pPr>
            <w:tabs>
              <w:tab w:val="right" w:leader="dot" w:pos="9854"/>
            </w:tabs>
            <w:spacing w:before="95" w:line="235" w:lineRule="exact"/>
            <w:ind w:left="233"/>
            <w:rPr>
              <w:rFonts w:ascii="Calibri" w:hAnsi="Calibri" w:eastAsia="Calibri" w:cs="Calibri"/>
              <w:sz w:val="22"/>
              <w:szCs w:val="22"/>
              <w:highlight w:val="none"/>
            </w:rPr>
          </w:pPr>
          <w:r>
            <w:rPr>
              <w:highlight w:val="none"/>
            </w:rPr>
            <w:fldChar w:fldCharType="begin"/>
          </w:r>
          <w:r>
            <w:rPr>
              <w:highlight w:val="none"/>
            </w:rPr>
            <w:instrText xml:space="preserve"> HYPERLINK \l "bookmark14" </w:instrText>
          </w:r>
          <w:r>
            <w:rPr>
              <w:highlight w:val="none"/>
            </w:rPr>
            <w:fldChar w:fldCharType="separate"/>
          </w:r>
          <w:r>
            <w:rPr>
              <w:rFonts w:ascii="微软雅黑" w:hAnsi="微软雅黑" w:eastAsia="微软雅黑" w:cs="微软雅黑"/>
              <w:spacing w:val="-2"/>
              <w:position w:val="-1"/>
              <w:sz w:val="22"/>
              <w:szCs w:val="22"/>
              <w:highlight w:val="none"/>
            </w:rPr>
            <w:t>3、职业健康服务</w:t>
          </w:r>
          <w:r>
            <w:rPr>
              <w:rFonts w:ascii="微软雅黑" w:hAnsi="微软雅黑" w:eastAsia="微软雅黑" w:cs="微软雅黑"/>
              <w:position w:val="-1"/>
              <w:sz w:val="22"/>
              <w:szCs w:val="22"/>
              <w:highlight w:val="none"/>
            </w:rPr>
            <w:tab/>
          </w:r>
          <w:r>
            <w:rPr>
              <w:rFonts w:ascii="Calibri" w:hAnsi="Calibri" w:eastAsia="Calibri" w:cs="Calibri"/>
              <w:spacing w:val="27"/>
              <w:position w:val="-1"/>
              <w:sz w:val="22"/>
              <w:szCs w:val="22"/>
              <w:highlight w:val="none"/>
            </w:rPr>
            <w:t>10</w:t>
          </w:r>
          <w:r>
            <w:rPr>
              <w:rFonts w:ascii="Calibri" w:hAnsi="Calibri" w:eastAsia="Calibri" w:cs="Calibri"/>
              <w:spacing w:val="27"/>
              <w:position w:val="-1"/>
              <w:sz w:val="22"/>
              <w:szCs w:val="22"/>
              <w:highlight w:val="none"/>
            </w:rPr>
            <w:fldChar w:fldCharType="end"/>
          </w:r>
        </w:p>
        <w:p w14:paraId="65D01F68">
          <w:pPr>
            <w:pStyle w:val="3"/>
            <w:spacing w:line="393" w:lineRule="auto"/>
            <w:rPr>
              <w:highlight w:val="none"/>
            </w:rPr>
          </w:pPr>
        </w:p>
        <w:p w14:paraId="32C13049">
          <w:pPr>
            <w:tabs>
              <w:tab w:val="right" w:leader="dot" w:pos="9854"/>
            </w:tabs>
            <w:spacing w:before="95" w:line="235" w:lineRule="exact"/>
            <w:ind w:left="219"/>
            <w:rPr>
              <w:rFonts w:ascii="Calibri" w:hAnsi="Calibri" w:eastAsia="Calibri" w:cs="Calibri"/>
              <w:sz w:val="22"/>
              <w:szCs w:val="22"/>
              <w:highlight w:val="none"/>
            </w:rPr>
          </w:pPr>
          <w:r>
            <w:rPr>
              <w:highlight w:val="none"/>
            </w:rPr>
            <w:fldChar w:fldCharType="begin"/>
          </w:r>
          <w:r>
            <w:rPr>
              <w:highlight w:val="none"/>
            </w:rPr>
            <w:instrText xml:space="preserve"> HYPERLINK \l "bookmark15" </w:instrText>
          </w:r>
          <w:r>
            <w:rPr>
              <w:highlight w:val="none"/>
            </w:rPr>
            <w:fldChar w:fldCharType="separate"/>
          </w:r>
          <w:r>
            <w:rPr>
              <w:rFonts w:ascii="微软雅黑" w:hAnsi="微软雅黑" w:eastAsia="微软雅黑" w:cs="微软雅黑"/>
              <w:position w:val="-1"/>
              <w:sz w:val="22"/>
              <w:szCs w:val="22"/>
              <w:highlight w:val="none"/>
            </w:rPr>
            <w:t>4、职业健康与安全事务：员工的参与、意见征询</w:t>
          </w:r>
          <w:r>
            <w:rPr>
              <w:rFonts w:ascii="微软雅黑" w:hAnsi="微软雅黑" w:eastAsia="微软雅黑" w:cs="微软雅黑"/>
              <w:spacing w:val="-1"/>
              <w:position w:val="-1"/>
              <w:sz w:val="22"/>
              <w:szCs w:val="22"/>
              <w:highlight w:val="none"/>
            </w:rPr>
            <w:t>和沟通</w:t>
          </w:r>
          <w:r>
            <w:rPr>
              <w:rFonts w:ascii="微软雅黑" w:hAnsi="微软雅黑" w:eastAsia="微软雅黑" w:cs="微软雅黑"/>
              <w:position w:val="-1"/>
              <w:sz w:val="22"/>
              <w:szCs w:val="22"/>
              <w:highlight w:val="none"/>
            </w:rPr>
            <w:tab/>
          </w:r>
          <w:r>
            <w:rPr>
              <w:rFonts w:ascii="Calibri" w:hAnsi="Calibri" w:eastAsia="Calibri" w:cs="Calibri"/>
              <w:spacing w:val="27"/>
              <w:position w:val="-1"/>
              <w:sz w:val="22"/>
              <w:szCs w:val="22"/>
              <w:highlight w:val="none"/>
            </w:rPr>
            <w:t>10</w:t>
          </w:r>
          <w:r>
            <w:rPr>
              <w:rFonts w:ascii="Calibri" w:hAnsi="Calibri" w:eastAsia="Calibri" w:cs="Calibri"/>
              <w:spacing w:val="27"/>
              <w:position w:val="-1"/>
              <w:sz w:val="22"/>
              <w:szCs w:val="22"/>
              <w:highlight w:val="none"/>
            </w:rPr>
            <w:fldChar w:fldCharType="end"/>
          </w:r>
        </w:p>
        <w:p w14:paraId="65A95CAF">
          <w:pPr>
            <w:pStyle w:val="3"/>
            <w:spacing w:line="390" w:lineRule="auto"/>
            <w:rPr>
              <w:highlight w:val="none"/>
            </w:rPr>
          </w:pPr>
        </w:p>
        <w:p w14:paraId="698FB04B">
          <w:pPr>
            <w:tabs>
              <w:tab w:val="right" w:leader="dot" w:pos="9854"/>
            </w:tabs>
            <w:spacing w:before="95" w:line="235" w:lineRule="exact"/>
            <w:ind w:left="236"/>
            <w:rPr>
              <w:rFonts w:ascii="Calibri" w:hAnsi="Calibri" w:eastAsia="Calibri" w:cs="Calibri"/>
              <w:sz w:val="22"/>
              <w:szCs w:val="22"/>
              <w:highlight w:val="none"/>
            </w:rPr>
          </w:pPr>
          <w:r>
            <w:rPr>
              <w:highlight w:val="none"/>
            </w:rPr>
            <w:fldChar w:fldCharType="begin"/>
          </w:r>
          <w:r>
            <w:rPr>
              <w:highlight w:val="none"/>
            </w:rPr>
            <w:instrText xml:space="preserve"> HYPERLINK \l "bookmark16" </w:instrText>
          </w:r>
          <w:r>
            <w:rPr>
              <w:highlight w:val="none"/>
            </w:rPr>
            <w:fldChar w:fldCharType="separate"/>
          </w:r>
          <w:r>
            <w:rPr>
              <w:rFonts w:ascii="微软雅黑" w:hAnsi="微软雅黑" w:eastAsia="微软雅黑" w:cs="微软雅黑"/>
              <w:spacing w:val="-2"/>
              <w:position w:val="-1"/>
              <w:sz w:val="22"/>
              <w:szCs w:val="22"/>
              <w:highlight w:val="none"/>
            </w:rPr>
            <w:t>5、员工职业健康与安全培训</w:t>
          </w:r>
          <w:r>
            <w:rPr>
              <w:rFonts w:ascii="微软雅黑" w:hAnsi="微软雅黑" w:eastAsia="微软雅黑" w:cs="微软雅黑"/>
              <w:position w:val="-1"/>
              <w:sz w:val="22"/>
              <w:szCs w:val="22"/>
              <w:highlight w:val="none"/>
            </w:rPr>
            <w:tab/>
          </w:r>
          <w:r>
            <w:rPr>
              <w:rFonts w:ascii="Calibri" w:hAnsi="Calibri" w:eastAsia="Calibri" w:cs="Calibri"/>
              <w:spacing w:val="27"/>
              <w:position w:val="-1"/>
              <w:sz w:val="22"/>
              <w:szCs w:val="22"/>
              <w:highlight w:val="none"/>
            </w:rPr>
            <w:t>11</w:t>
          </w:r>
          <w:r>
            <w:rPr>
              <w:rFonts w:ascii="Calibri" w:hAnsi="Calibri" w:eastAsia="Calibri" w:cs="Calibri"/>
              <w:spacing w:val="27"/>
              <w:position w:val="-1"/>
              <w:sz w:val="22"/>
              <w:szCs w:val="22"/>
              <w:highlight w:val="none"/>
            </w:rPr>
            <w:fldChar w:fldCharType="end"/>
          </w:r>
        </w:p>
        <w:p w14:paraId="0F97BA1E">
          <w:pPr>
            <w:pStyle w:val="3"/>
            <w:spacing w:line="392" w:lineRule="auto"/>
            <w:rPr>
              <w:highlight w:val="none"/>
            </w:rPr>
          </w:pPr>
        </w:p>
        <w:p w14:paraId="4FBCA1BC">
          <w:pPr>
            <w:tabs>
              <w:tab w:val="right" w:leader="dot" w:pos="9854"/>
            </w:tabs>
            <w:spacing w:before="95" w:line="236" w:lineRule="exact"/>
            <w:ind w:left="230"/>
            <w:rPr>
              <w:rFonts w:ascii="Calibri" w:hAnsi="Calibri" w:eastAsia="Calibri" w:cs="Calibri"/>
              <w:sz w:val="22"/>
              <w:szCs w:val="22"/>
              <w:highlight w:val="none"/>
            </w:rPr>
          </w:pPr>
          <w:r>
            <w:rPr>
              <w:highlight w:val="none"/>
            </w:rPr>
            <w:fldChar w:fldCharType="begin"/>
          </w:r>
          <w:r>
            <w:rPr>
              <w:highlight w:val="none"/>
            </w:rPr>
            <w:instrText xml:space="preserve"> HYPERLINK \l "bookmark17" </w:instrText>
          </w:r>
          <w:r>
            <w:rPr>
              <w:highlight w:val="none"/>
            </w:rPr>
            <w:fldChar w:fldCharType="separate"/>
          </w:r>
          <w:r>
            <w:rPr>
              <w:rFonts w:ascii="微软雅黑" w:hAnsi="微软雅黑" w:eastAsia="微软雅黑" w:cs="微软雅黑"/>
              <w:spacing w:val="-2"/>
              <w:position w:val="-1"/>
              <w:sz w:val="22"/>
              <w:szCs w:val="22"/>
              <w:highlight w:val="none"/>
            </w:rPr>
            <w:t>6、促进员工健康</w:t>
          </w:r>
          <w:r>
            <w:rPr>
              <w:rFonts w:ascii="微软雅黑" w:hAnsi="微软雅黑" w:eastAsia="微软雅黑" w:cs="微软雅黑"/>
              <w:position w:val="-1"/>
              <w:sz w:val="22"/>
              <w:szCs w:val="22"/>
              <w:highlight w:val="none"/>
            </w:rPr>
            <w:tab/>
          </w:r>
          <w:r>
            <w:rPr>
              <w:rFonts w:ascii="Calibri" w:hAnsi="Calibri" w:eastAsia="Calibri" w:cs="Calibri"/>
              <w:spacing w:val="27"/>
              <w:position w:val="-1"/>
              <w:sz w:val="22"/>
              <w:szCs w:val="22"/>
              <w:highlight w:val="none"/>
            </w:rPr>
            <w:t>11</w:t>
          </w:r>
          <w:r>
            <w:rPr>
              <w:rFonts w:ascii="Calibri" w:hAnsi="Calibri" w:eastAsia="Calibri" w:cs="Calibri"/>
              <w:spacing w:val="27"/>
              <w:position w:val="-1"/>
              <w:sz w:val="22"/>
              <w:szCs w:val="22"/>
              <w:highlight w:val="none"/>
            </w:rPr>
            <w:fldChar w:fldCharType="end"/>
          </w:r>
        </w:p>
        <w:p w14:paraId="0F4CB926">
          <w:pPr>
            <w:pStyle w:val="3"/>
            <w:spacing w:line="393" w:lineRule="auto"/>
            <w:rPr>
              <w:highlight w:val="none"/>
            </w:rPr>
          </w:pPr>
        </w:p>
        <w:p w14:paraId="27E53301">
          <w:pPr>
            <w:tabs>
              <w:tab w:val="right" w:leader="dot" w:pos="9854"/>
            </w:tabs>
            <w:spacing w:before="94" w:line="194" w:lineRule="auto"/>
            <w:ind w:left="230"/>
            <w:rPr>
              <w:rFonts w:ascii="Calibri" w:hAnsi="Calibri" w:eastAsia="Calibri" w:cs="Calibri"/>
              <w:sz w:val="22"/>
              <w:szCs w:val="22"/>
              <w:highlight w:val="none"/>
            </w:rPr>
          </w:pPr>
          <w:r>
            <w:rPr>
              <w:highlight w:val="none"/>
            </w:rPr>
            <w:fldChar w:fldCharType="begin"/>
          </w:r>
          <w:r>
            <w:rPr>
              <w:highlight w:val="none"/>
            </w:rPr>
            <w:instrText xml:space="preserve"> HYPERLINK \l "bookmark18" </w:instrText>
          </w:r>
          <w:r>
            <w:rPr>
              <w:highlight w:val="none"/>
            </w:rPr>
            <w:fldChar w:fldCharType="separate"/>
          </w:r>
          <w:r>
            <w:rPr>
              <w:rFonts w:ascii="微软雅黑" w:hAnsi="微软雅黑" w:eastAsia="微软雅黑" w:cs="微软雅黑"/>
              <w:spacing w:val="-1"/>
              <w:sz w:val="22"/>
              <w:szCs w:val="22"/>
              <w:highlight w:val="none"/>
            </w:rPr>
            <w:t>7、预防和减缓与业务关系直接相关的职业健康与安全影响</w:t>
          </w:r>
          <w:r>
            <w:rPr>
              <w:rFonts w:ascii="微软雅黑" w:hAnsi="微软雅黑" w:eastAsia="微软雅黑" w:cs="微软雅黑"/>
              <w:sz w:val="22"/>
              <w:szCs w:val="22"/>
              <w:highlight w:val="none"/>
            </w:rPr>
            <w:tab/>
          </w:r>
          <w:r>
            <w:rPr>
              <w:rFonts w:ascii="Calibri" w:hAnsi="Calibri" w:eastAsia="Calibri" w:cs="Calibri"/>
              <w:spacing w:val="27"/>
              <w:sz w:val="22"/>
              <w:szCs w:val="22"/>
              <w:highlight w:val="none"/>
            </w:rPr>
            <w:t>12</w:t>
          </w:r>
          <w:r>
            <w:rPr>
              <w:rFonts w:ascii="Calibri" w:hAnsi="Calibri" w:eastAsia="Calibri" w:cs="Calibri"/>
              <w:spacing w:val="27"/>
              <w:sz w:val="22"/>
              <w:szCs w:val="22"/>
              <w:highlight w:val="none"/>
            </w:rPr>
            <w:fldChar w:fldCharType="end"/>
          </w:r>
        </w:p>
      </w:sdtContent>
    </w:sdt>
    <w:p w14:paraId="1927C179">
      <w:pPr>
        <w:spacing w:line="194" w:lineRule="auto"/>
        <w:rPr>
          <w:rFonts w:ascii="Calibri" w:hAnsi="Calibri" w:eastAsia="Calibri" w:cs="Calibri"/>
          <w:sz w:val="22"/>
          <w:szCs w:val="22"/>
          <w:highlight w:val="none"/>
        </w:rPr>
        <w:sectPr>
          <w:footerReference r:id="rId5" w:type="default"/>
          <w:pgSz w:w="11907" w:h="16839"/>
          <w:pgMar w:top="1307" w:right="1028" w:bottom="1251" w:left="1023" w:header="0" w:footer="1047" w:gutter="0"/>
          <w:pgNumType w:fmt="decimal" w:start="1"/>
          <w:cols w:space="720" w:num="1"/>
        </w:sectPr>
      </w:pPr>
    </w:p>
    <w:sdt>
      <w:sdtPr>
        <w:rPr>
          <w:rFonts w:ascii="微软雅黑" w:hAnsi="微软雅黑" w:eastAsia="微软雅黑" w:cs="微软雅黑"/>
          <w:sz w:val="22"/>
          <w:szCs w:val="22"/>
          <w:highlight w:val="none"/>
        </w:rPr>
        <w:id w:val="2"/>
        <w:docPartObj>
          <w:docPartGallery w:val="Table of Contents"/>
          <w:docPartUnique/>
        </w:docPartObj>
      </w:sdtPr>
      <w:sdtEndPr>
        <w:rPr>
          <w:rFonts w:ascii="微软雅黑" w:hAnsi="微软雅黑" w:eastAsia="微软雅黑" w:cs="微软雅黑"/>
          <w:sz w:val="22"/>
          <w:szCs w:val="22"/>
          <w:highlight w:val="none"/>
        </w:rPr>
      </w:sdtEndPr>
      <w:sdtContent>
        <w:p w14:paraId="40EF1503">
          <w:pPr>
            <w:tabs>
              <w:tab w:val="right" w:leader="dot" w:pos="9855"/>
            </w:tabs>
            <w:spacing w:before="47" w:line="235" w:lineRule="exact"/>
            <w:ind w:left="229"/>
            <w:rPr>
              <w:rFonts w:ascii="Calibri" w:hAnsi="Calibri" w:eastAsia="Calibri" w:cs="Calibri"/>
              <w:sz w:val="22"/>
              <w:szCs w:val="22"/>
              <w:highlight w:val="none"/>
            </w:rPr>
          </w:pPr>
          <w:r>
            <w:rPr>
              <w:highlight w:val="none"/>
            </w:rPr>
            <w:fldChar w:fldCharType="begin"/>
          </w:r>
          <w:r>
            <w:rPr>
              <w:highlight w:val="none"/>
            </w:rPr>
            <w:instrText xml:space="preserve"> HYPERLINK \l "bookmark19" </w:instrText>
          </w:r>
          <w:r>
            <w:rPr>
              <w:highlight w:val="none"/>
            </w:rPr>
            <w:fldChar w:fldCharType="separate"/>
          </w:r>
          <w:r>
            <w:rPr>
              <w:rFonts w:ascii="微软雅黑" w:hAnsi="微软雅黑" w:eastAsia="微软雅黑" w:cs="微软雅黑"/>
              <w:spacing w:val="-1"/>
              <w:position w:val="-1"/>
              <w:sz w:val="22"/>
              <w:szCs w:val="22"/>
              <w:highlight w:val="none"/>
            </w:rPr>
            <w:t>8、职业健康与安全管理体系覆盖的员工</w:t>
          </w:r>
          <w:r>
            <w:rPr>
              <w:rFonts w:ascii="微软雅黑" w:hAnsi="微软雅黑" w:eastAsia="微软雅黑" w:cs="微软雅黑"/>
              <w:position w:val="-1"/>
              <w:sz w:val="22"/>
              <w:szCs w:val="22"/>
              <w:highlight w:val="none"/>
            </w:rPr>
            <w:tab/>
          </w:r>
          <w:r>
            <w:rPr>
              <w:rFonts w:ascii="Calibri" w:hAnsi="Calibri" w:eastAsia="Calibri" w:cs="Calibri"/>
              <w:spacing w:val="27"/>
              <w:position w:val="-1"/>
              <w:sz w:val="22"/>
              <w:szCs w:val="22"/>
              <w:highlight w:val="none"/>
            </w:rPr>
            <w:t>12</w:t>
          </w:r>
          <w:r>
            <w:rPr>
              <w:rFonts w:ascii="Calibri" w:hAnsi="Calibri" w:eastAsia="Calibri" w:cs="Calibri"/>
              <w:spacing w:val="27"/>
              <w:position w:val="-1"/>
              <w:sz w:val="22"/>
              <w:szCs w:val="22"/>
              <w:highlight w:val="none"/>
            </w:rPr>
            <w:fldChar w:fldCharType="end"/>
          </w:r>
        </w:p>
        <w:p w14:paraId="5F780F0D">
          <w:pPr>
            <w:pStyle w:val="3"/>
            <w:spacing w:line="393" w:lineRule="auto"/>
            <w:rPr>
              <w:highlight w:val="none"/>
            </w:rPr>
          </w:pPr>
        </w:p>
        <w:p w14:paraId="3B5602AD">
          <w:pPr>
            <w:tabs>
              <w:tab w:val="right" w:leader="dot" w:pos="9855"/>
            </w:tabs>
            <w:spacing w:before="94" w:line="235" w:lineRule="exact"/>
            <w:ind w:left="229"/>
            <w:rPr>
              <w:rFonts w:ascii="Calibri" w:hAnsi="Calibri" w:eastAsia="Calibri" w:cs="Calibri"/>
              <w:sz w:val="22"/>
              <w:szCs w:val="22"/>
              <w:highlight w:val="none"/>
            </w:rPr>
          </w:pPr>
          <w:r>
            <w:rPr>
              <w:highlight w:val="none"/>
            </w:rPr>
            <w:fldChar w:fldCharType="begin"/>
          </w:r>
          <w:r>
            <w:rPr>
              <w:highlight w:val="none"/>
            </w:rPr>
            <w:instrText xml:space="preserve"> HYPERLINK \l "bookmark20" </w:instrText>
          </w:r>
          <w:r>
            <w:rPr>
              <w:highlight w:val="none"/>
            </w:rPr>
            <w:fldChar w:fldCharType="separate"/>
          </w:r>
          <w:r>
            <w:rPr>
              <w:rFonts w:ascii="微软雅黑" w:hAnsi="微软雅黑" w:eastAsia="微软雅黑" w:cs="微软雅黑"/>
              <w:spacing w:val="-4"/>
              <w:position w:val="-1"/>
              <w:sz w:val="22"/>
              <w:szCs w:val="22"/>
              <w:highlight w:val="none"/>
            </w:rPr>
            <w:t>9、工伤</w:t>
          </w:r>
          <w:r>
            <w:rPr>
              <w:rFonts w:ascii="微软雅黑" w:hAnsi="微软雅黑" w:eastAsia="微软雅黑" w:cs="微软雅黑"/>
              <w:position w:val="-1"/>
              <w:sz w:val="22"/>
              <w:szCs w:val="22"/>
              <w:highlight w:val="none"/>
            </w:rPr>
            <w:tab/>
          </w:r>
          <w:r>
            <w:rPr>
              <w:rFonts w:ascii="Calibri" w:hAnsi="Calibri" w:eastAsia="Calibri" w:cs="Calibri"/>
              <w:spacing w:val="27"/>
              <w:position w:val="-1"/>
              <w:sz w:val="22"/>
              <w:szCs w:val="22"/>
              <w:highlight w:val="none"/>
            </w:rPr>
            <w:t>12</w:t>
          </w:r>
          <w:r>
            <w:rPr>
              <w:rFonts w:ascii="Calibri" w:hAnsi="Calibri" w:eastAsia="Calibri" w:cs="Calibri"/>
              <w:spacing w:val="27"/>
              <w:position w:val="-1"/>
              <w:sz w:val="22"/>
              <w:szCs w:val="22"/>
              <w:highlight w:val="none"/>
            </w:rPr>
            <w:fldChar w:fldCharType="end"/>
          </w:r>
        </w:p>
        <w:p w14:paraId="2B9EA1EE">
          <w:pPr>
            <w:pStyle w:val="3"/>
            <w:spacing w:line="392" w:lineRule="auto"/>
            <w:rPr>
              <w:highlight w:val="none"/>
            </w:rPr>
          </w:pPr>
        </w:p>
        <w:p w14:paraId="3660CF16">
          <w:pPr>
            <w:tabs>
              <w:tab w:val="right" w:leader="dot" w:pos="9855"/>
            </w:tabs>
            <w:spacing w:before="95" w:line="235" w:lineRule="exact"/>
            <w:rPr>
              <w:rFonts w:ascii="微软雅黑" w:hAnsi="微软雅黑" w:eastAsia="微软雅黑" w:cs="微软雅黑"/>
              <w:sz w:val="22"/>
              <w:szCs w:val="22"/>
              <w:highlight w:val="none"/>
            </w:rPr>
          </w:pPr>
          <w:r>
            <w:rPr>
              <w:highlight w:val="none"/>
            </w:rPr>
            <w:fldChar w:fldCharType="begin"/>
          </w:r>
          <w:r>
            <w:rPr>
              <w:highlight w:val="none"/>
            </w:rPr>
            <w:instrText xml:space="preserve"> HYPERLINK \l "bookmark21" </w:instrText>
          </w:r>
          <w:r>
            <w:rPr>
              <w:highlight w:val="none"/>
            </w:rPr>
            <w:fldChar w:fldCharType="separate"/>
          </w:r>
          <w:r>
            <w:rPr>
              <w:rFonts w:ascii="微软雅黑" w:hAnsi="微软雅黑" w:eastAsia="微软雅黑" w:cs="微软雅黑"/>
              <w:b/>
              <w:bCs/>
              <w:position w:val="-1"/>
              <w:sz w:val="22"/>
              <w:szCs w:val="22"/>
              <w:highlight w:val="none"/>
            </w:rPr>
            <w:t>绿色环保</w:t>
          </w:r>
          <w:r>
            <w:rPr>
              <w:rFonts w:ascii="微软雅黑" w:hAnsi="微软雅黑" w:eastAsia="微软雅黑" w:cs="微软雅黑"/>
              <w:b/>
              <w:bCs/>
              <w:position w:val="-1"/>
              <w:sz w:val="22"/>
              <w:szCs w:val="22"/>
              <w:highlight w:val="none"/>
            </w:rPr>
            <w:tab/>
          </w:r>
          <w:r>
            <w:rPr>
              <w:rFonts w:ascii="微软雅黑" w:hAnsi="微软雅黑" w:eastAsia="微软雅黑" w:cs="微软雅黑"/>
              <w:b/>
              <w:bCs/>
              <w:spacing w:val="29"/>
              <w:position w:val="-1"/>
              <w:sz w:val="22"/>
              <w:szCs w:val="22"/>
              <w:highlight w:val="none"/>
            </w:rPr>
            <w:t>13</w:t>
          </w:r>
          <w:r>
            <w:rPr>
              <w:rFonts w:ascii="微软雅黑" w:hAnsi="微软雅黑" w:eastAsia="微软雅黑" w:cs="微软雅黑"/>
              <w:b/>
              <w:bCs/>
              <w:spacing w:val="29"/>
              <w:position w:val="-1"/>
              <w:sz w:val="22"/>
              <w:szCs w:val="22"/>
              <w:highlight w:val="none"/>
            </w:rPr>
            <w:fldChar w:fldCharType="end"/>
          </w:r>
        </w:p>
        <w:p w14:paraId="7252A2D2">
          <w:pPr>
            <w:pStyle w:val="3"/>
            <w:spacing w:line="390" w:lineRule="auto"/>
            <w:rPr>
              <w:highlight w:val="none"/>
            </w:rPr>
          </w:pPr>
        </w:p>
        <w:p w14:paraId="2F4DE8D5">
          <w:pPr>
            <w:tabs>
              <w:tab w:val="right" w:leader="dot" w:pos="9855"/>
            </w:tabs>
            <w:spacing w:before="94" w:line="235" w:lineRule="exact"/>
            <w:ind w:left="241"/>
            <w:rPr>
              <w:rFonts w:ascii="Calibri" w:hAnsi="Calibri" w:eastAsia="Calibri" w:cs="Calibri"/>
              <w:sz w:val="22"/>
              <w:szCs w:val="22"/>
              <w:highlight w:val="none"/>
            </w:rPr>
          </w:pPr>
          <w:r>
            <w:rPr>
              <w:highlight w:val="none"/>
            </w:rPr>
            <w:fldChar w:fldCharType="begin"/>
          </w:r>
          <w:r>
            <w:rPr>
              <w:highlight w:val="none"/>
            </w:rPr>
            <w:instrText xml:space="preserve"> HYPERLINK \l "bookmark22" </w:instrText>
          </w:r>
          <w:r>
            <w:rPr>
              <w:highlight w:val="none"/>
            </w:rPr>
            <w:fldChar w:fldCharType="separate"/>
          </w:r>
          <w:r>
            <w:rPr>
              <w:rFonts w:ascii="微软雅黑" w:hAnsi="微软雅黑" w:eastAsia="微软雅黑" w:cs="微软雅黑"/>
              <w:spacing w:val="-4"/>
              <w:position w:val="-1"/>
              <w:sz w:val="22"/>
              <w:szCs w:val="22"/>
              <w:highlight w:val="none"/>
            </w:rPr>
            <w:t>1、环保目标</w:t>
          </w:r>
          <w:r>
            <w:rPr>
              <w:rFonts w:ascii="微软雅黑" w:hAnsi="微软雅黑" w:eastAsia="微软雅黑" w:cs="微软雅黑"/>
              <w:position w:val="-1"/>
              <w:sz w:val="22"/>
              <w:szCs w:val="22"/>
              <w:highlight w:val="none"/>
            </w:rPr>
            <w:tab/>
          </w:r>
          <w:r>
            <w:rPr>
              <w:rFonts w:ascii="Calibri" w:hAnsi="Calibri" w:eastAsia="Calibri" w:cs="Calibri"/>
              <w:spacing w:val="27"/>
              <w:position w:val="-1"/>
              <w:sz w:val="22"/>
              <w:szCs w:val="22"/>
              <w:highlight w:val="none"/>
            </w:rPr>
            <w:t>13</w:t>
          </w:r>
          <w:r>
            <w:rPr>
              <w:rFonts w:ascii="Calibri" w:hAnsi="Calibri" w:eastAsia="Calibri" w:cs="Calibri"/>
              <w:spacing w:val="27"/>
              <w:position w:val="-1"/>
              <w:sz w:val="22"/>
              <w:szCs w:val="22"/>
              <w:highlight w:val="none"/>
            </w:rPr>
            <w:fldChar w:fldCharType="end"/>
          </w:r>
        </w:p>
        <w:p w14:paraId="26C48A2B">
          <w:pPr>
            <w:pStyle w:val="3"/>
            <w:spacing w:line="392" w:lineRule="auto"/>
            <w:rPr>
              <w:highlight w:val="none"/>
            </w:rPr>
          </w:pPr>
        </w:p>
        <w:p w14:paraId="50D3756A">
          <w:pPr>
            <w:tabs>
              <w:tab w:val="right" w:leader="dot" w:pos="9855"/>
            </w:tabs>
            <w:spacing w:before="95" w:line="235" w:lineRule="exact"/>
            <w:ind w:left="231"/>
            <w:rPr>
              <w:rFonts w:ascii="Calibri" w:hAnsi="Calibri" w:eastAsia="Calibri" w:cs="Calibri"/>
              <w:sz w:val="22"/>
              <w:szCs w:val="22"/>
              <w:highlight w:val="none"/>
            </w:rPr>
          </w:pPr>
          <w:r>
            <w:rPr>
              <w:highlight w:val="none"/>
            </w:rPr>
            <w:fldChar w:fldCharType="begin"/>
          </w:r>
          <w:r>
            <w:rPr>
              <w:highlight w:val="none"/>
            </w:rPr>
            <w:instrText xml:space="preserve"> HYPERLINK \l "bookmark23" </w:instrText>
          </w:r>
          <w:r>
            <w:rPr>
              <w:highlight w:val="none"/>
            </w:rPr>
            <w:fldChar w:fldCharType="separate"/>
          </w:r>
          <w:r>
            <w:rPr>
              <w:rFonts w:ascii="微软雅黑" w:hAnsi="微软雅黑" w:eastAsia="微软雅黑" w:cs="微软雅黑"/>
              <w:spacing w:val="-2"/>
              <w:position w:val="-1"/>
              <w:sz w:val="22"/>
              <w:szCs w:val="22"/>
              <w:highlight w:val="none"/>
            </w:rPr>
            <w:t>2、节能减排</w:t>
          </w:r>
          <w:r>
            <w:rPr>
              <w:rFonts w:ascii="微软雅黑" w:hAnsi="微软雅黑" w:eastAsia="微软雅黑" w:cs="微软雅黑"/>
              <w:position w:val="-1"/>
              <w:sz w:val="22"/>
              <w:szCs w:val="22"/>
              <w:highlight w:val="none"/>
            </w:rPr>
            <w:tab/>
          </w:r>
          <w:r>
            <w:rPr>
              <w:rFonts w:ascii="Calibri" w:hAnsi="Calibri" w:eastAsia="Calibri" w:cs="Calibri"/>
              <w:spacing w:val="27"/>
              <w:position w:val="-1"/>
              <w:sz w:val="22"/>
              <w:szCs w:val="22"/>
              <w:highlight w:val="none"/>
            </w:rPr>
            <w:t>13</w:t>
          </w:r>
          <w:r>
            <w:rPr>
              <w:rFonts w:ascii="Calibri" w:hAnsi="Calibri" w:eastAsia="Calibri" w:cs="Calibri"/>
              <w:spacing w:val="27"/>
              <w:position w:val="-1"/>
              <w:sz w:val="22"/>
              <w:szCs w:val="22"/>
              <w:highlight w:val="none"/>
            </w:rPr>
            <w:fldChar w:fldCharType="end"/>
          </w:r>
        </w:p>
        <w:p w14:paraId="76EBA6A8">
          <w:pPr>
            <w:pStyle w:val="3"/>
            <w:spacing w:line="392" w:lineRule="auto"/>
            <w:rPr>
              <w:highlight w:val="none"/>
            </w:rPr>
          </w:pPr>
        </w:p>
        <w:p w14:paraId="5597A8AA">
          <w:pPr>
            <w:tabs>
              <w:tab w:val="right" w:leader="dot" w:pos="9855"/>
            </w:tabs>
            <w:spacing w:before="95" w:line="236" w:lineRule="exact"/>
            <w:ind w:left="234"/>
            <w:rPr>
              <w:rFonts w:ascii="Calibri" w:hAnsi="Calibri" w:eastAsia="Calibri" w:cs="Calibri"/>
              <w:sz w:val="22"/>
              <w:szCs w:val="22"/>
              <w:highlight w:val="none"/>
            </w:rPr>
          </w:pPr>
          <w:r>
            <w:rPr>
              <w:highlight w:val="none"/>
            </w:rPr>
            <w:fldChar w:fldCharType="begin"/>
          </w:r>
          <w:r>
            <w:rPr>
              <w:highlight w:val="none"/>
            </w:rPr>
            <w:instrText xml:space="preserve"> HYPERLINK \l "bookmark24" </w:instrText>
          </w:r>
          <w:r>
            <w:rPr>
              <w:highlight w:val="none"/>
            </w:rPr>
            <w:fldChar w:fldCharType="separate"/>
          </w:r>
          <w:r>
            <w:rPr>
              <w:rFonts w:ascii="微软雅黑" w:hAnsi="微软雅黑" w:eastAsia="微软雅黑" w:cs="微软雅黑"/>
              <w:spacing w:val="-2"/>
              <w:position w:val="-1"/>
              <w:sz w:val="22"/>
              <w:szCs w:val="22"/>
              <w:highlight w:val="none"/>
            </w:rPr>
            <w:t>3、生物多样性</w:t>
          </w:r>
          <w:r>
            <w:rPr>
              <w:rFonts w:ascii="微软雅黑" w:hAnsi="微软雅黑" w:eastAsia="微软雅黑" w:cs="微软雅黑"/>
              <w:position w:val="-1"/>
              <w:sz w:val="22"/>
              <w:szCs w:val="22"/>
              <w:highlight w:val="none"/>
            </w:rPr>
            <w:tab/>
          </w:r>
          <w:r>
            <w:rPr>
              <w:rFonts w:ascii="Calibri" w:hAnsi="Calibri" w:eastAsia="Calibri" w:cs="Calibri"/>
              <w:spacing w:val="27"/>
              <w:position w:val="-1"/>
              <w:sz w:val="22"/>
              <w:szCs w:val="22"/>
              <w:highlight w:val="none"/>
            </w:rPr>
            <w:t>14</w:t>
          </w:r>
          <w:r>
            <w:rPr>
              <w:rFonts w:ascii="Calibri" w:hAnsi="Calibri" w:eastAsia="Calibri" w:cs="Calibri"/>
              <w:spacing w:val="27"/>
              <w:position w:val="-1"/>
              <w:sz w:val="22"/>
              <w:szCs w:val="22"/>
              <w:highlight w:val="none"/>
            </w:rPr>
            <w:fldChar w:fldCharType="end"/>
          </w:r>
        </w:p>
        <w:p w14:paraId="018920BA">
          <w:pPr>
            <w:pStyle w:val="3"/>
            <w:spacing w:line="391" w:lineRule="auto"/>
            <w:rPr>
              <w:highlight w:val="none"/>
            </w:rPr>
          </w:pPr>
        </w:p>
        <w:p w14:paraId="4FEE593B">
          <w:pPr>
            <w:tabs>
              <w:tab w:val="right" w:leader="dot" w:pos="9855"/>
            </w:tabs>
            <w:spacing w:before="94" w:line="235" w:lineRule="exact"/>
            <w:ind w:left="220"/>
            <w:rPr>
              <w:rFonts w:ascii="Calibri" w:hAnsi="Calibri" w:eastAsia="Calibri" w:cs="Calibri"/>
              <w:sz w:val="22"/>
              <w:szCs w:val="22"/>
              <w:highlight w:val="none"/>
            </w:rPr>
          </w:pPr>
          <w:r>
            <w:rPr>
              <w:highlight w:val="none"/>
            </w:rPr>
            <w:fldChar w:fldCharType="begin"/>
          </w:r>
          <w:r>
            <w:rPr>
              <w:highlight w:val="none"/>
            </w:rPr>
            <w:instrText xml:space="preserve"> HYPERLINK \l "bookmark25" </w:instrText>
          </w:r>
          <w:r>
            <w:rPr>
              <w:highlight w:val="none"/>
            </w:rPr>
            <w:fldChar w:fldCharType="separate"/>
          </w:r>
          <w:r>
            <w:rPr>
              <w:rFonts w:ascii="微软雅黑" w:hAnsi="微软雅黑" w:eastAsia="微软雅黑" w:cs="微软雅黑"/>
              <w:position w:val="-1"/>
              <w:sz w:val="22"/>
              <w:szCs w:val="22"/>
              <w:highlight w:val="none"/>
            </w:rPr>
            <w:t>4、绿色办公</w:t>
          </w:r>
          <w:r>
            <w:rPr>
              <w:rFonts w:ascii="微软雅黑" w:hAnsi="微软雅黑" w:eastAsia="微软雅黑" w:cs="微软雅黑"/>
              <w:position w:val="-1"/>
              <w:sz w:val="22"/>
              <w:szCs w:val="22"/>
              <w:highlight w:val="none"/>
            </w:rPr>
            <w:tab/>
          </w:r>
          <w:r>
            <w:rPr>
              <w:rFonts w:ascii="Calibri" w:hAnsi="Calibri" w:eastAsia="Calibri" w:cs="Calibri"/>
              <w:spacing w:val="27"/>
              <w:position w:val="-1"/>
              <w:sz w:val="22"/>
              <w:szCs w:val="22"/>
              <w:highlight w:val="none"/>
            </w:rPr>
            <w:t>14</w:t>
          </w:r>
          <w:r>
            <w:rPr>
              <w:rFonts w:ascii="Calibri" w:hAnsi="Calibri" w:eastAsia="Calibri" w:cs="Calibri"/>
              <w:spacing w:val="27"/>
              <w:position w:val="-1"/>
              <w:sz w:val="22"/>
              <w:szCs w:val="22"/>
              <w:highlight w:val="none"/>
            </w:rPr>
            <w:fldChar w:fldCharType="end"/>
          </w:r>
        </w:p>
        <w:p w14:paraId="10F68BE9">
          <w:pPr>
            <w:pStyle w:val="3"/>
            <w:spacing w:line="392" w:lineRule="auto"/>
            <w:rPr>
              <w:highlight w:val="none"/>
            </w:rPr>
          </w:pPr>
        </w:p>
        <w:p w14:paraId="64D234DF">
          <w:pPr>
            <w:tabs>
              <w:tab w:val="right" w:leader="dot" w:pos="9855"/>
            </w:tabs>
            <w:spacing w:before="95" w:line="236" w:lineRule="exact"/>
            <w:ind w:left="237"/>
            <w:rPr>
              <w:rFonts w:ascii="Calibri" w:hAnsi="Calibri" w:eastAsia="Calibri" w:cs="Calibri"/>
              <w:sz w:val="22"/>
              <w:szCs w:val="22"/>
              <w:highlight w:val="none"/>
            </w:rPr>
          </w:pPr>
          <w:r>
            <w:rPr>
              <w:highlight w:val="none"/>
            </w:rPr>
            <w:fldChar w:fldCharType="begin"/>
          </w:r>
          <w:r>
            <w:rPr>
              <w:highlight w:val="none"/>
            </w:rPr>
            <w:instrText xml:space="preserve"> HYPERLINK \l "bookmark26" </w:instrText>
          </w:r>
          <w:r>
            <w:rPr>
              <w:highlight w:val="none"/>
            </w:rPr>
            <w:fldChar w:fldCharType="separate"/>
          </w:r>
          <w:r>
            <w:rPr>
              <w:rFonts w:ascii="微软雅黑" w:hAnsi="微软雅黑" w:eastAsia="微软雅黑" w:cs="微软雅黑"/>
              <w:spacing w:val="-3"/>
              <w:position w:val="-1"/>
              <w:sz w:val="22"/>
              <w:szCs w:val="22"/>
              <w:highlight w:val="none"/>
            </w:rPr>
            <w:t>5、固废管控</w:t>
          </w:r>
          <w:r>
            <w:rPr>
              <w:rFonts w:ascii="微软雅黑" w:hAnsi="微软雅黑" w:eastAsia="微软雅黑" w:cs="微软雅黑"/>
              <w:position w:val="-1"/>
              <w:sz w:val="22"/>
              <w:szCs w:val="22"/>
              <w:highlight w:val="none"/>
            </w:rPr>
            <w:tab/>
          </w:r>
          <w:r>
            <w:rPr>
              <w:rFonts w:ascii="Calibri" w:hAnsi="Calibri" w:eastAsia="Calibri" w:cs="Calibri"/>
              <w:spacing w:val="27"/>
              <w:position w:val="-1"/>
              <w:sz w:val="22"/>
              <w:szCs w:val="22"/>
              <w:highlight w:val="none"/>
            </w:rPr>
            <w:t>14</w:t>
          </w:r>
          <w:r>
            <w:rPr>
              <w:rFonts w:ascii="Calibri" w:hAnsi="Calibri" w:eastAsia="Calibri" w:cs="Calibri"/>
              <w:spacing w:val="27"/>
              <w:position w:val="-1"/>
              <w:sz w:val="22"/>
              <w:szCs w:val="22"/>
              <w:highlight w:val="none"/>
            </w:rPr>
            <w:fldChar w:fldCharType="end"/>
          </w:r>
        </w:p>
        <w:p w14:paraId="4E4A36C1">
          <w:pPr>
            <w:pStyle w:val="3"/>
            <w:spacing w:line="392" w:lineRule="auto"/>
            <w:rPr>
              <w:highlight w:val="none"/>
            </w:rPr>
          </w:pPr>
        </w:p>
        <w:p w14:paraId="1962293E">
          <w:pPr>
            <w:tabs>
              <w:tab w:val="right" w:leader="dot" w:pos="9855"/>
            </w:tabs>
            <w:spacing w:before="95" w:line="235" w:lineRule="exact"/>
            <w:ind w:left="231"/>
            <w:rPr>
              <w:rFonts w:ascii="Calibri" w:hAnsi="Calibri" w:eastAsia="Calibri" w:cs="Calibri"/>
              <w:sz w:val="22"/>
              <w:szCs w:val="22"/>
              <w:highlight w:val="none"/>
            </w:rPr>
          </w:pPr>
          <w:r>
            <w:rPr>
              <w:highlight w:val="none"/>
            </w:rPr>
            <w:fldChar w:fldCharType="begin"/>
          </w:r>
          <w:r>
            <w:rPr>
              <w:highlight w:val="none"/>
            </w:rPr>
            <w:instrText xml:space="preserve"> HYPERLINK \l "bookmark27" </w:instrText>
          </w:r>
          <w:r>
            <w:rPr>
              <w:highlight w:val="none"/>
            </w:rPr>
            <w:fldChar w:fldCharType="separate"/>
          </w:r>
          <w:r>
            <w:rPr>
              <w:rFonts w:ascii="微软雅黑" w:hAnsi="微软雅黑" w:eastAsia="微软雅黑" w:cs="微软雅黑"/>
              <w:spacing w:val="-1"/>
              <w:position w:val="-1"/>
              <w:sz w:val="22"/>
              <w:szCs w:val="22"/>
              <w:highlight w:val="none"/>
            </w:rPr>
            <w:t>6、水资源的循环利用</w:t>
          </w:r>
          <w:r>
            <w:rPr>
              <w:rFonts w:ascii="微软雅黑" w:hAnsi="微软雅黑" w:eastAsia="微软雅黑" w:cs="微软雅黑"/>
              <w:position w:val="-1"/>
              <w:sz w:val="22"/>
              <w:szCs w:val="22"/>
              <w:highlight w:val="none"/>
            </w:rPr>
            <w:tab/>
          </w:r>
          <w:r>
            <w:rPr>
              <w:rFonts w:ascii="Calibri" w:hAnsi="Calibri" w:eastAsia="Calibri" w:cs="Calibri"/>
              <w:spacing w:val="27"/>
              <w:position w:val="-1"/>
              <w:sz w:val="22"/>
              <w:szCs w:val="22"/>
              <w:highlight w:val="none"/>
            </w:rPr>
            <w:t>15</w:t>
          </w:r>
          <w:r>
            <w:rPr>
              <w:rFonts w:ascii="Calibri" w:hAnsi="Calibri" w:eastAsia="Calibri" w:cs="Calibri"/>
              <w:spacing w:val="27"/>
              <w:position w:val="-1"/>
              <w:sz w:val="22"/>
              <w:szCs w:val="22"/>
              <w:highlight w:val="none"/>
            </w:rPr>
            <w:fldChar w:fldCharType="end"/>
          </w:r>
        </w:p>
        <w:p w14:paraId="7F0F9876">
          <w:pPr>
            <w:pStyle w:val="3"/>
            <w:spacing w:line="390" w:lineRule="auto"/>
            <w:rPr>
              <w:highlight w:val="none"/>
            </w:rPr>
          </w:pPr>
        </w:p>
        <w:p w14:paraId="0CD49773">
          <w:pPr>
            <w:tabs>
              <w:tab w:val="right" w:leader="dot" w:pos="9855"/>
            </w:tabs>
            <w:spacing w:before="95" w:line="235" w:lineRule="exact"/>
            <w:ind w:left="230"/>
            <w:rPr>
              <w:rFonts w:ascii="Calibri" w:hAnsi="Calibri" w:eastAsia="Calibri" w:cs="Calibri"/>
              <w:sz w:val="22"/>
              <w:szCs w:val="22"/>
              <w:highlight w:val="none"/>
            </w:rPr>
          </w:pPr>
          <w:r>
            <w:rPr>
              <w:highlight w:val="none"/>
            </w:rPr>
            <w:fldChar w:fldCharType="begin"/>
          </w:r>
          <w:r>
            <w:rPr>
              <w:highlight w:val="none"/>
            </w:rPr>
            <w:instrText xml:space="preserve"> HYPERLINK \l "bookmark28" </w:instrText>
          </w:r>
          <w:r>
            <w:rPr>
              <w:highlight w:val="none"/>
            </w:rPr>
            <w:fldChar w:fldCharType="separate"/>
          </w:r>
          <w:r>
            <w:rPr>
              <w:rFonts w:ascii="微软雅黑" w:hAnsi="微软雅黑" w:eastAsia="微软雅黑" w:cs="微软雅黑"/>
              <w:spacing w:val="-1"/>
              <w:position w:val="-1"/>
              <w:sz w:val="22"/>
              <w:szCs w:val="22"/>
              <w:highlight w:val="none"/>
            </w:rPr>
            <w:t>7、生命周期废物管理</w:t>
          </w:r>
          <w:r>
            <w:rPr>
              <w:rFonts w:ascii="微软雅黑" w:hAnsi="微软雅黑" w:eastAsia="微软雅黑" w:cs="微软雅黑"/>
              <w:position w:val="-1"/>
              <w:sz w:val="22"/>
              <w:szCs w:val="22"/>
              <w:highlight w:val="none"/>
            </w:rPr>
            <w:tab/>
          </w:r>
          <w:r>
            <w:rPr>
              <w:rFonts w:ascii="Calibri" w:hAnsi="Calibri" w:eastAsia="Calibri" w:cs="Calibri"/>
              <w:spacing w:val="27"/>
              <w:position w:val="-1"/>
              <w:sz w:val="22"/>
              <w:szCs w:val="22"/>
              <w:highlight w:val="none"/>
            </w:rPr>
            <w:t>16</w:t>
          </w:r>
          <w:r>
            <w:rPr>
              <w:rFonts w:ascii="Calibri" w:hAnsi="Calibri" w:eastAsia="Calibri" w:cs="Calibri"/>
              <w:spacing w:val="27"/>
              <w:position w:val="-1"/>
              <w:sz w:val="22"/>
              <w:szCs w:val="22"/>
              <w:highlight w:val="none"/>
            </w:rPr>
            <w:fldChar w:fldCharType="end"/>
          </w:r>
        </w:p>
        <w:p w14:paraId="0B07E28C">
          <w:pPr>
            <w:pStyle w:val="3"/>
            <w:spacing w:line="393" w:lineRule="auto"/>
            <w:rPr>
              <w:highlight w:val="none"/>
            </w:rPr>
          </w:pPr>
        </w:p>
        <w:p w14:paraId="350A43D3">
          <w:pPr>
            <w:tabs>
              <w:tab w:val="right" w:leader="dot" w:pos="9855"/>
            </w:tabs>
            <w:spacing w:before="95" w:line="235" w:lineRule="exact"/>
            <w:ind w:left="1"/>
            <w:rPr>
              <w:rFonts w:ascii="微软雅黑" w:hAnsi="微软雅黑" w:eastAsia="微软雅黑" w:cs="微软雅黑"/>
              <w:sz w:val="22"/>
              <w:szCs w:val="22"/>
              <w:highlight w:val="none"/>
            </w:rPr>
          </w:pPr>
          <w:r>
            <w:rPr>
              <w:highlight w:val="none"/>
            </w:rPr>
            <w:fldChar w:fldCharType="begin"/>
          </w:r>
          <w:r>
            <w:rPr>
              <w:highlight w:val="none"/>
            </w:rPr>
            <w:instrText xml:space="preserve"> HYPERLINK \l "bookmark30" </w:instrText>
          </w:r>
          <w:r>
            <w:rPr>
              <w:highlight w:val="none"/>
            </w:rPr>
            <w:fldChar w:fldCharType="separate"/>
          </w:r>
          <w:r>
            <w:rPr>
              <w:rFonts w:ascii="微软雅黑" w:hAnsi="微软雅黑" w:eastAsia="微软雅黑" w:cs="微软雅黑"/>
              <w:b/>
              <w:bCs/>
              <w:spacing w:val="-1"/>
              <w:position w:val="-1"/>
              <w:sz w:val="22"/>
              <w:szCs w:val="22"/>
              <w:highlight w:val="none"/>
            </w:rPr>
            <w:t>劳工人权</w:t>
          </w:r>
          <w:r>
            <w:rPr>
              <w:rFonts w:ascii="微软雅黑" w:hAnsi="微软雅黑" w:eastAsia="微软雅黑" w:cs="微软雅黑"/>
              <w:b/>
              <w:bCs/>
              <w:position w:val="-1"/>
              <w:sz w:val="22"/>
              <w:szCs w:val="22"/>
              <w:highlight w:val="none"/>
            </w:rPr>
            <w:tab/>
          </w:r>
          <w:r>
            <w:rPr>
              <w:rFonts w:ascii="微软雅黑" w:hAnsi="微软雅黑" w:eastAsia="微软雅黑" w:cs="微软雅黑"/>
              <w:b/>
              <w:bCs/>
              <w:spacing w:val="29"/>
              <w:position w:val="-1"/>
              <w:sz w:val="22"/>
              <w:szCs w:val="22"/>
              <w:highlight w:val="none"/>
            </w:rPr>
            <w:t>18</w:t>
          </w:r>
          <w:r>
            <w:rPr>
              <w:rFonts w:ascii="微软雅黑" w:hAnsi="微软雅黑" w:eastAsia="微软雅黑" w:cs="微软雅黑"/>
              <w:b/>
              <w:bCs/>
              <w:spacing w:val="29"/>
              <w:position w:val="-1"/>
              <w:sz w:val="22"/>
              <w:szCs w:val="22"/>
              <w:highlight w:val="none"/>
            </w:rPr>
            <w:fldChar w:fldCharType="end"/>
          </w:r>
        </w:p>
        <w:p w14:paraId="06D64028">
          <w:pPr>
            <w:pStyle w:val="3"/>
            <w:spacing w:line="390" w:lineRule="auto"/>
            <w:rPr>
              <w:highlight w:val="none"/>
            </w:rPr>
          </w:pPr>
        </w:p>
        <w:p w14:paraId="645956F8">
          <w:pPr>
            <w:tabs>
              <w:tab w:val="right" w:leader="dot" w:pos="9855"/>
            </w:tabs>
            <w:spacing w:before="95" w:line="235" w:lineRule="exact"/>
            <w:ind w:left="5"/>
            <w:rPr>
              <w:rFonts w:ascii="微软雅黑" w:hAnsi="微软雅黑" w:eastAsia="微软雅黑" w:cs="微软雅黑"/>
              <w:sz w:val="22"/>
              <w:szCs w:val="22"/>
              <w:highlight w:val="none"/>
            </w:rPr>
          </w:pPr>
          <w:r>
            <w:rPr>
              <w:highlight w:val="none"/>
            </w:rPr>
            <w:fldChar w:fldCharType="begin"/>
          </w:r>
          <w:r>
            <w:rPr>
              <w:highlight w:val="none"/>
            </w:rPr>
            <w:instrText xml:space="preserve"> HYPERLINK \l "bookmark31" </w:instrText>
          </w:r>
          <w:r>
            <w:rPr>
              <w:highlight w:val="none"/>
            </w:rPr>
            <w:fldChar w:fldCharType="separate"/>
          </w:r>
          <w:r>
            <w:rPr>
              <w:rFonts w:ascii="微软雅黑" w:hAnsi="微软雅黑" w:eastAsia="微软雅黑" w:cs="微软雅黑"/>
              <w:b/>
              <w:bCs/>
              <w:spacing w:val="-2"/>
              <w:position w:val="-1"/>
              <w:sz w:val="22"/>
              <w:szCs w:val="22"/>
              <w:highlight w:val="none"/>
            </w:rPr>
            <w:t>商业道德</w:t>
          </w:r>
          <w:r>
            <w:rPr>
              <w:rFonts w:ascii="微软雅黑" w:hAnsi="微软雅黑" w:eastAsia="微软雅黑" w:cs="微软雅黑"/>
              <w:b/>
              <w:bCs/>
              <w:position w:val="-1"/>
              <w:sz w:val="22"/>
              <w:szCs w:val="22"/>
              <w:highlight w:val="none"/>
            </w:rPr>
            <w:tab/>
          </w:r>
          <w:r>
            <w:rPr>
              <w:rFonts w:ascii="微软雅黑" w:hAnsi="微软雅黑" w:eastAsia="微软雅黑" w:cs="微软雅黑"/>
              <w:b/>
              <w:bCs/>
              <w:spacing w:val="29"/>
              <w:position w:val="-1"/>
              <w:sz w:val="22"/>
              <w:szCs w:val="22"/>
              <w:highlight w:val="none"/>
            </w:rPr>
            <w:t>19</w:t>
          </w:r>
          <w:r>
            <w:rPr>
              <w:rFonts w:ascii="微软雅黑" w:hAnsi="微软雅黑" w:eastAsia="微软雅黑" w:cs="微软雅黑"/>
              <w:b/>
              <w:bCs/>
              <w:spacing w:val="29"/>
              <w:position w:val="-1"/>
              <w:sz w:val="22"/>
              <w:szCs w:val="22"/>
              <w:highlight w:val="none"/>
            </w:rPr>
            <w:fldChar w:fldCharType="end"/>
          </w:r>
        </w:p>
        <w:p w14:paraId="4F95664F">
          <w:pPr>
            <w:pStyle w:val="3"/>
            <w:spacing w:line="392" w:lineRule="auto"/>
            <w:rPr>
              <w:highlight w:val="none"/>
            </w:rPr>
          </w:pPr>
        </w:p>
        <w:p w14:paraId="148BB093">
          <w:pPr>
            <w:tabs>
              <w:tab w:val="right" w:leader="dot" w:pos="9855"/>
            </w:tabs>
            <w:spacing w:before="95" w:line="235" w:lineRule="exact"/>
            <w:ind w:left="241"/>
            <w:rPr>
              <w:rFonts w:ascii="Calibri" w:hAnsi="Calibri" w:eastAsia="Calibri" w:cs="Calibri"/>
              <w:sz w:val="22"/>
              <w:szCs w:val="22"/>
              <w:highlight w:val="none"/>
            </w:rPr>
          </w:pPr>
          <w:r>
            <w:rPr>
              <w:highlight w:val="none"/>
            </w:rPr>
            <w:fldChar w:fldCharType="begin"/>
          </w:r>
          <w:r>
            <w:rPr>
              <w:highlight w:val="none"/>
            </w:rPr>
            <w:instrText xml:space="preserve"> HYPERLINK \l "bookmark32" </w:instrText>
          </w:r>
          <w:r>
            <w:rPr>
              <w:highlight w:val="none"/>
            </w:rPr>
            <w:fldChar w:fldCharType="separate"/>
          </w:r>
          <w:r>
            <w:rPr>
              <w:rFonts w:ascii="微软雅黑" w:hAnsi="微软雅黑" w:eastAsia="微软雅黑" w:cs="微软雅黑"/>
              <w:spacing w:val="-4"/>
              <w:position w:val="-1"/>
              <w:sz w:val="22"/>
              <w:szCs w:val="22"/>
              <w:highlight w:val="none"/>
            </w:rPr>
            <w:t>1、公司诚信</w:t>
          </w:r>
          <w:r>
            <w:rPr>
              <w:rFonts w:ascii="微软雅黑" w:hAnsi="微软雅黑" w:eastAsia="微软雅黑" w:cs="微软雅黑"/>
              <w:position w:val="-1"/>
              <w:sz w:val="22"/>
              <w:szCs w:val="22"/>
              <w:highlight w:val="none"/>
            </w:rPr>
            <w:tab/>
          </w:r>
          <w:r>
            <w:rPr>
              <w:rFonts w:ascii="Calibri" w:hAnsi="Calibri" w:eastAsia="Calibri" w:cs="Calibri"/>
              <w:spacing w:val="27"/>
              <w:position w:val="-1"/>
              <w:sz w:val="22"/>
              <w:szCs w:val="22"/>
              <w:highlight w:val="none"/>
            </w:rPr>
            <w:t>19</w:t>
          </w:r>
          <w:r>
            <w:rPr>
              <w:rFonts w:ascii="Calibri" w:hAnsi="Calibri" w:eastAsia="Calibri" w:cs="Calibri"/>
              <w:spacing w:val="27"/>
              <w:position w:val="-1"/>
              <w:sz w:val="22"/>
              <w:szCs w:val="22"/>
              <w:highlight w:val="none"/>
            </w:rPr>
            <w:fldChar w:fldCharType="end"/>
          </w:r>
        </w:p>
        <w:p w14:paraId="36258605">
          <w:pPr>
            <w:pStyle w:val="3"/>
            <w:spacing w:line="392" w:lineRule="auto"/>
            <w:rPr>
              <w:highlight w:val="none"/>
            </w:rPr>
          </w:pPr>
        </w:p>
        <w:p w14:paraId="44C8A8BC">
          <w:pPr>
            <w:tabs>
              <w:tab w:val="right" w:leader="dot" w:pos="9855"/>
            </w:tabs>
            <w:spacing w:before="96" w:line="235" w:lineRule="exact"/>
            <w:ind w:left="231"/>
            <w:rPr>
              <w:rFonts w:ascii="Calibri" w:hAnsi="Calibri" w:eastAsia="Calibri" w:cs="Calibri"/>
              <w:sz w:val="22"/>
              <w:szCs w:val="22"/>
              <w:highlight w:val="none"/>
            </w:rPr>
          </w:pPr>
          <w:r>
            <w:rPr>
              <w:highlight w:val="none"/>
            </w:rPr>
            <w:fldChar w:fldCharType="begin"/>
          </w:r>
          <w:r>
            <w:rPr>
              <w:highlight w:val="none"/>
            </w:rPr>
            <w:instrText xml:space="preserve"> HYPERLINK \l "bookmark33" </w:instrText>
          </w:r>
          <w:r>
            <w:rPr>
              <w:highlight w:val="none"/>
            </w:rPr>
            <w:fldChar w:fldCharType="separate"/>
          </w:r>
          <w:r>
            <w:rPr>
              <w:rFonts w:ascii="微软雅黑" w:hAnsi="微软雅黑" w:eastAsia="微软雅黑" w:cs="微软雅黑"/>
              <w:spacing w:val="-2"/>
              <w:position w:val="-1"/>
              <w:sz w:val="22"/>
              <w:szCs w:val="22"/>
              <w:highlight w:val="none"/>
            </w:rPr>
            <w:t>2、供应责任</w:t>
          </w:r>
          <w:r>
            <w:rPr>
              <w:rFonts w:ascii="微软雅黑" w:hAnsi="微软雅黑" w:eastAsia="微软雅黑" w:cs="微软雅黑"/>
              <w:position w:val="-1"/>
              <w:sz w:val="22"/>
              <w:szCs w:val="22"/>
              <w:highlight w:val="none"/>
            </w:rPr>
            <w:tab/>
          </w:r>
          <w:r>
            <w:rPr>
              <w:rFonts w:ascii="Calibri" w:hAnsi="Calibri" w:eastAsia="Calibri" w:cs="Calibri"/>
              <w:spacing w:val="27"/>
              <w:position w:val="-1"/>
              <w:sz w:val="22"/>
              <w:szCs w:val="22"/>
              <w:highlight w:val="none"/>
            </w:rPr>
            <w:t>19</w:t>
          </w:r>
          <w:r>
            <w:rPr>
              <w:rFonts w:ascii="Calibri" w:hAnsi="Calibri" w:eastAsia="Calibri" w:cs="Calibri"/>
              <w:spacing w:val="27"/>
              <w:position w:val="-1"/>
              <w:sz w:val="22"/>
              <w:szCs w:val="22"/>
              <w:highlight w:val="none"/>
            </w:rPr>
            <w:fldChar w:fldCharType="end"/>
          </w:r>
        </w:p>
        <w:p w14:paraId="2721CB4A">
          <w:pPr>
            <w:pStyle w:val="3"/>
            <w:spacing w:line="391" w:lineRule="auto"/>
            <w:rPr>
              <w:highlight w:val="none"/>
            </w:rPr>
          </w:pPr>
        </w:p>
        <w:p w14:paraId="3397BE01">
          <w:pPr>
            <w:tabs>
              <w:tab w:val="right" w:leader="dot" w:pos="9855"/>
            </w:tabs>
            <w:spacing w:before="94" w:line="235" w:lineRule="exact"/>
            <w:ind w:left="234"/>
            <w:rPr>
              <w:rFonts w:ascii="Calibri" w:hAnsi="Calibri" w:eastAsia="Calibri" w:cs="Calibri"/>
              <w:spacing w:val="27"/>
              <w:position w:val="-1"/>
              <w:sz w:val="22"/>
              <w:szCs w:val="22"/>
              <w:highlight w:val="none"/>
            </w:rPr>
          </w:pPr>
          <w:r>
            <w:rPr>
              <w:highlight w:val="none"/>
            </w:rPr>
            <w:fldChar w:fldCharType="begin"/>
          </w:r>
          <w:r>
            <w:rPr>
              <w:highlight w:val="none"/>
            </w:rPr>
            <w:instrText xml:space="preserve"> HYPERLINK \l "bookmark34" </w:instrText>
          </w:r>
          <w:r>
            <w:rPr>
              <w:highlight w:val="none"/>
            </w:rPr>
            <w:fldChar w:fldCharType="separate"/>
          </w:r>
          <w:r>
            <w:rPr>
              <w:rFonts w:ascii="微软雅黑" w:hAnsi="微软雅黑" w:eastAsia="微软雅黑" w:cs="微软雅黑"/>
              <w:spacing w:val="-2"/>
              <w:position w:val="-1"/>
              <w:sz w:val="22"/>
              <w:szCs w:val="22"/>
              <w:highlight w:val="none"/>
            </w:rPr>
            <w:t>3、利益相关方沟通</w:t>
          </w:r>
          <w:r>
            <w:rPr>
              <w:rFonts w:ascii="微软雅黑" w:hAnsi="微软雅黑" w:eastAsia="微软雅黑" w:cs="微软雅黑"/>
              <w:position w:val="-1"/>
              <w:sz w:val="22"/>
              <w:szCs w:val="22"/>
              <w:highlight w:val="none"/>
            </w:rPr>
            <w:tab/>
          </w:r>
          <w:r>
            <w:rPr>
              <w:rFonts w:ascii="Calibri" w:hAnsi="Calibri" w:eastAsia="Calibri" w:cs="Calibri"/>
              <w:spacing w:val="27"/>
              <w:position w:val="-1"/>
              <w:sz w:val="22"/>
              <w:szCs w:val="22"/>
              <w:highlight w:val="none"/>
            </w:rPr>
            <w:t>19</w:t>
          </w:r>
          <w:r>
            <w:rPr>
              <w:rFonts w:ascii="Calibri" w:hAnsi="Calibri" w:eastAsia="Calibri" w:cs="Calibri"/>
              <w:spacing w:val="27"/>
              <w:position w:val="-1"/>
              <w:sz w:val="22"/>
              <w:szCs w:val="22"/>
              <w:highlight w:val="none"/>
            </w:rPr>
            <w:fldChar w:fldCharType="end"/>
          </w:r>
        </w:p>
        <w:p w14:paraId="6469D8CD">
          <w:pPr>
            <w:tabs>
              <w:tab w:val="right" w:leader="dot" w:pos="9855"/>
            </w:tabs>
            <w:spacing w:before="94" w:line="235" w:lineRule="exact"/>
            <w:ind w:left="234"/>
            <w:rPr>
              <w:rFonts w:ascii="Calibri" w:hAnsi="Calibri" w:eastAsia="Calibri" w:cs="Calibri"/>
              <w:spacing w:val="27"/>
              <w:position w:val="-1"/>
              <w:sz w:val="22"/>
              <w:szCs w:val="22"/>
              <w:highlight w:val="none"/>
            </w:rPr>
          </w:pPr>
        </w:p>
        <w:p w14:paraId="1D9DEDF6">
          <w:pPr>
            <w:tabs>
              <w:tab w:val="right" w:leader="dot" w:pos="9855"/>
            </w:tabs>
            <w:spacing w:before="94" w:line="235" w:lineRule="exact"/>
            <w:ind w:left="234"/>
            <w:rPr>
              <w:rFonts w:hint="default" w:ascii="Calibri" w:hAnsi="Calibri" w:eastAsia="Calibri" w:cs="Calibri"/>
              <w:spacing w:val="27"/>
              <w:position w:val="-1"/>
              <w:sz w:val="22"/>
              <w:szCs w:val="22"/>
              <w:highlight w:val="none"/>
              <w:lang w:val="en-US" w:eastAsia="zh-CN"/>
            </w:rPr>
          </w:pPr>
          <w:r>
            <w:rPr>
              <w:rFonts w:hint="eastAsia" w:ascii="Calibri" w:hAnsi="Calibri" w:eastAsia="宋体" w:cs="Calibri"/>
              <w:spacing w:val="27"/>
              <w:position w:val="-1"/>
              <w:sz w:val="22"/>
              <w:szCs w:val="22"/>
              <w:highlight w:val="none"/>
              <w:lang w:val="en-US" w:eastAsia="zh-CN"/>
            </w:rPr>
            <w:t>4、</w:t>
          </w:r>
          <w:r>
            <w:rPr>
              <w:rFonts w:hint="eastAsia" w:ascii="微软雅黑" w:hAnsi="微软雅黑" w:eastAsia="微软雅黑" w:cs="微软雅黑"/>
              <w:spacing w:val="-2"/>
              <w:position w:val="-1"/>
              <w:sz w:val="22"/>
              <w:szCs w:val="22"/>
              <w:highlight w:val="none"/>
              <w:lang w:val="en-US" w:eastAsia="zh-CN"/>
            </w:rPr>
            <w:t>给政府的的付款</w:t>
          </w:r>
          <w:r>
            <w:rPr>
              <w:rFonts w:ascii="微软雅黑" w:hAnsi="微软雅黑" w:eastAsia="微软雅黑" w:cs="微软雅黑"/>
              <w:spacing w:val="-2"/>
              <w:position w:val="-1"/>
              <w:sz w:val="22"/>
              <w:szCs w:val="22"/>
              <w:highlight w:val="none"/>
            </w:rPr>
            <w:tab/>
          </w:r>
          <w:r>
            <w:rPr>
              <w:rFonts w:ascii="Calibri" w:hAnsi="Calibri" w:eastAsia="Calibri" w:cs="Calibri"/>
              <w:spacing w:val="27"/>
              <w:position w:val="-1"/>
              <w:sz w:val="22"/>
              <w:szCs w:val="22"/>
              <w:highlight w:val="none"/>
            </w:rPr>
            <w:t>19</w:t>
          </w:r>
        </w:p>
        <w:p w14:paraId="71D6358A">
          <w:pPr>
            <w:tabs>
              <w:tab w:val="right" w:leader="dot" w:pos="9855"/>
            </w:tabs>
            <w:spacing w:before="94" w:line="235" w:lineRule="exact"/>
            <w:ind w:left="234"/>
            <w:rPr>
              <w:rFonts w:ascii="微软雅黑" w:hAnsi="微软雅黑" w:eastAsia="微软雅黑" w:cs="微软雅黑"/>
              <w:spacing w:val="-2"/>
              <w:position w:val="-1"/>
              <w:sz w:val="22"/>
              <w:szCs w:val="22"/>
              <w:highlight w:val="none"/>
            </w:rPr>
          </w:pPr>
        </w:p>
        <w:p w14:paraId="5469DCCA">
          <w:pPr>
            <w:tabs>
              <w:tab w:val="right" w:leader="dot" w:pos="9855"/>
            </w:tabs>
            <w:spacing w:before="95" w:line="195" w:lineRule="auto"/>
            <w:rPr>
              <w:rFonts w:ascii="微软雅黑" w:hAnsi="微软雅黑" w:eastAsia="微软雅黑" w:cs="微软雅黑"/>
              <w:sz w:val="22"/>
              <w:szCs w:val="22"/>
              <w:highlight w:val="none"/>
            </w:rPr>
          </w:pPr>
          <w:r>
            <w:rPr>
              <w:highlight w:val="none"/>
            </w:rPr>
            <w:fldChar w:fldCharType="begin"/>
          </w:r>
          <w:r>
            <w:rPr>
              <w:highlight w:val="none"/>
            </w:rPr>
            <w:instrText xml:space="preserve"> HYPERLINK \l "bookmark35" </w:instrText>
          </w:r>
          <w:r>
            <w:rPr>
              <w:highlight w:val="none"/>
            </w:rPr>
            <w:fldChar w:fldCharType="separate"/>
          </w:r>
          <w:r>
            <w:rPr>
              <w:rFonts w:ascii="微软雅黑" w:hAnsi="微软雅黑" w:eastAsia="微软雅黑" w:cs="微软雅黑"/>
              <w:b/>
              <w:bCs/>
              <w:sz w:val="22"/>
              <w:szCs w:val="22"/>
              <w:highlight w:val="none"/>
            </w:rPr>
            <w:t>相关方需求和期望清单</w:t>
          </w:r>
          <w:r>
            <w:rPr>
              <w:rFonts w:ascii="微软雅黑" w:hAnsi="微软雅黑" w:eastAsia="微软雅黑" w:cs="微软雅黑"/>
              <w:b/>
              <w:bCs/>
              <w:sz w:val="22"/>
              <w:szCs w:val="22"/>
              <w:highlight w:val="none"/>
            </w:rPr>
            <w:tab/>
          </w:r>
          <w:r>
            <w:rPr>
              <w:rFonts w:ascii="微软雅黑" w:hAnsi="微软雅黑" w:eastAsia="微软雅黑" w:cs="微软雅黑"/>
              <w:b/>
              <w:bCs/>
              <w:spacing w:val="29"/>
              <w:sz w:val="22"/>
              <w:szCs w:val="22"/>
              <w:highlight w:val="none"/>
            </w:rPr>
            <w:t>21</w:t>
          </w:r>
          <w:r>
            <w:rPr>
              <w:rFonts w:ascii="微软雅黑" w:hAnsi="微软雅黑" w:eastAsia="微软雅黑" w:cs="微软雅黑"/>
              <w:b/>
              <w:bCs/>
              <w:spacing w:val="29"/>
              <w:sz w:val="22"/>
              <w:szCs w:val="22"/>
              <w:highlight w:val="none"/>
            </w:rPr>
            <w:fldChar w:fldCharType="end"/>
          </w:r>
        </w:p>
      </w:sdtContent>
    </w:sdt>
    <w:p w14:paraId="5142B7BE">
      <w:pPr>
        <w:spacing w:line="195" w:lineRule="auto"/>
        <w:rPr>
          <w:rFonts w:ascii="微软雅黑" w:hAnsi="微软雅黑" w:eastAsia="微软雅黑" w:cs="微软雅黑"/>
          <w:sz w:val="22"/>
          <w:szCs w:val="22"/>
          <w:highlight w:val="none"/>
        </w:rPr>
        <w:sectPr>
          <w:footerReference r:id="rId6" w:type="default"/>
          <w:pgSz w:w="11907" w:h="16839"/>
          <w:pgMar w:top="1307" w:right="1028" w:bottom="1251" w:left="1022" w:header="0" w:footer="1047" w:gutter="0"/>
          <w:pgNumType w:fmt="decimal"/>
          <w:cols w:space="720" w:num="1"/>
        </w:sectPr>
      </w:pPr>
    </w:p>
    <w:p w14:paraId="63F6319C">
      <w:pPr>
        <w:spacing w:before="67" w:line="199" w:lineRule="auto"/>
        <w:ind w:left="2"/>
        <w:rPr>
          <w:rFonts w:ascii="微软雅黑" w:hAnsi="微软雅黑" w:eastAsia="微软雅黑" w:cs="微软雅黑"/>
          <w:sz w:val="31"/>
          <w:szCs w:val="31"/>
          <w:highlight w:val="none"/>
        </w:rPr>
      </w:pPr>
      <w:bookmarkStart w:id="0" w:name="bookmark1"/>
      <w:bookmarkEnd w:id="0"/>
      <w:r>
        <w:rPr>
          <w:rFonts w:ascii="微软雅黑" w:hAnsi="微软雅黑" w:eastAsia="微软雅黑" w:cs="微软雅黑"/>
          <w:b/>
          <w:bCs/>
          <w:spacing w:val="8"/>
          <w:sz w:val="31"/>
          <w:szCs w:val="31"/>
          <w:highlight w:val="none"/>
          <w:u w:val="single" w:color="auto"/>
        </w:rPr>
        <w:t>关于本报告</w:t>
      </w:r>
    </w:p>
    <w:p w14:paraId="17AF058F">
      <w:pPr>
        <w:pStyle w:val="3"/>
        <w:spacing w:line="296" w:lineRule="auto"/>
        <w:rPr>
          <w:highlight w:val="none"/>
        </w:rPr>
      </w:pPr>
    </w:p>
    <w:p w14:paraId="1852F781">
      <w:pPr>
        <w:pStyle w:val="3"/>
        <w:spacing w:line="296" w:lineRule="auto"/>
        <w:rPr>
          <w:highlight w:val="none"/>
        </w:rPr>
      </w:pPr>
    </w:p>
    <w:p w14:paraId="7ED06604">
      <w:pPr>
        <w:spacing w:before="103" w:line="224" w:lineRule="auto"/>
        <w:ind w:firstLine="481"/>
        <w:jc w:val="both"/>
        <w:rPr>
          <w:rFonts w:ascii="微软雅黑" w:hAnsi="微软雅黑" w:eastAsia="微软雅黑" w:cs="微软雅黑"/>
          <w:sz w:val="24"/>
          <w:szCs w:val="24"/>
          <w:highlight w:val="none"/>
        </w:rPr>
      </w:pPr>
      <w:r>
        <w:rPr>
          <w:rFonts w:hint="eastAsia" w:ascii="微软雅黑" w:hAnsi="微软雅黑" w:eastAsia="微软雅黑" w:cs="微软雅黑"/>
          <w:spacing w:val="-10"/>
          <w:sz w:val="24"/>
          <w:szCs w:val="24"/>
          <w:highlight w:val="none"/>
          <w:lang w:eastAsia="zh-CN"/>
        </w:rPr>
        <w:t>安徽</w:t>
      </w:r>
      <w:r>
        <w:rPr>
          <w:rFonts w:hint="eastAsia" w:ascii="微软雅黑" w:hAnsi="微软雅黑" w:eastAsia="微软雅黑" w:cs="微软雅黑"/>
          <w:spacing w:val="-10"/>
          <w:sz w:val="24"/>
          <w:szCs w:val="24"/>
          <w:highlight w:val="none"/>
          <w:lang w:val="en-US" w:eastAsia="zh-CN"/>
        </w:rPr>
        <w:t>美信铝业有限</w:t>
      </w:r>
      <w:r>
        <w:rPr>
          <w:rFonts w:hint="eastAsia" w:ascii="微软雅黑" w:hAnsi="微软雅黑" w:eastAsia="微软雅黑" w:cs="微软雅黑"/>
          <w:spacing w:val="-10"/>
          <w:sz w:val="24"/>
          <w:szCs w:val="24"/>
          <w:highlight w:val="none"/>
          <w:lang w:eastAsia="zh-CN"/>
        </w:rPr>
        <w:t>公司</w:t>
      </w:r>
      <w:r>
        <w:rPr>
          <w:rFonts w:ascii="微软雅黑" w:hAnsi="微软雅黑" w:eastAsia="微软雅黑" w:cs="微软雅黑"/>
          <w:spacing w:val="-9"/>
          <w:sz w:val="24"/>
          <w:szCs w:val="24"/>
          <w:highlight w:val="none"/>
        </w:rPr>
        <w:t>(以下简称“</w:t>
      </w:r>
      <w:r>
        <w:rPr>
          <w:rFonts w:hint="eastAsia" w:ascii="微软雅黑" w:hAnsi="微软雅黑" w:eastAsia="微软雅黑" w:cs="微软雅黑"/>
          <w:spacing w:val="-9"/>
          <w:sz w:val="24"/>
          <w:szCs w:val="24"/>
          <w:highlight w:val="none"/>
          <w:lang w:eastAsia="zh-CN"/>
        </w:rPr>
        <w:t>安徽</w:t>
      </w:r>
      <w:r>
        <w:rPr>
          <w:rFonts w:hint="eastAsia" w:ascii="微软雅黑" w:hAnsi="微软雅黑" w:eastAsia="微软雅黑" w:cs="微软雅黑"/>
          <w:spacing w:val="-9"/>
          <w:sz w:val="24"/>
          <w:szCs w:val="24"/>
          <w:highlight w:val="none"/>
          <w:lang w:val="en-US" w:eastAsia="zh-CN"/>
        </w:rPr>
        <w:t>美信</w:t>
      </w:r>
      <w:r>
        <w:rPr>
          <w:rFonts w:ascii="微软雅黑" w:hAnsi="微软雅黑" w:eastAsia="微软雅黑" w:cs="微软雅黑"/>
          <w:spacing w:val="-9"/>
          <w:sz w:val="24"/>
          <w:szCs w:val="24"/>
          <w:highlight w:val="none"/>
        </w:rPr>
        <w:t>”、“公司”或“我们”)主动向社会公众报</w:t>
      </w:r>
      <w:r>
        <w:rPr>
          <w:rFonts w:ascii="微软雅黑" w:hAnsi="微软雅黑" w:eastAsia="微软雅黑" w:cs="微软雅黑"/>
          <w:spacing w:val="-10"/>
          <w:sz w:val="24"/>
          <w:szCs w:val="24"/>
          <w:highlight w:val="none"/>
        </w:rPr>
        <w:t>告</w:t>
      </w:r>
      <w:r>
        <w:rPr>
          <w:rFonts w:ascii="微软雅黑" w:hAnsi="微软雅黑" w:eastAsia="微软雅黑" w:cs="微软雅黑"/>
          <w:spacing w:val="-4"/>
          <w:sz w:val="24"/>
          <w:szCs w:val="24"/>
          <w:highlight w:val="none"/>
        </w:rPr>
        <w:t>公</w:t>
      </w:r>
      <w:r>
        <w:rPr>
          <w:rFonts w:ascii="微软雅黑" w:hAnsi="微软雅黑" w:eastAsia="微软雅黑" w:cs="微软雅黑"/>
          <w:spacing w:val="-3"/>
          <w:sz w:val="24"/>
          <w:szCs w:val="24"/>
          <w:highlight w:val="none"/>
        </w:rPr>
        <w:t>司的可持续发展理念和实践，让全社会了解、监督</w:t>
      </w:r>
      <w:r>
        <w:rPr>
          <w:rFonts w:hint="eastAsia" w:ascii="微软雅黑" w:hAnsi="微软雅黑" w:eastAsia="微软雅黑" w:cs="微软雅黑"/>
          <w:spacing w:val="-3"/>
          <w:sz w:val="24"/>
          <w:szCs w:val="24"/>
          <w:highlight w:val="none"/>
          <w:lang w:eastAsia="zh-CN"/>
        </w:rPr>
        <w:t>安徽美信</w:t>
      </w:r>
      <w:r>
        <w:rPr>
          <w:rFonts w:ascii="微软雅黑" w:hAnsi="微软雅黑" w:eastAsia="微软雅黑" w:cs="微软雅黑"/>
          <w:spacing w:val="-3"/>
          <w:sz w:val="24"/>
          <w:szCs w:val="24"/>
          <w:highlight w:val="none"/>
        </w:rPr>
        <w:t>的可持续发展工作，促进</w:t>
      </w:r>
      <w:r>
        <w:rPr>
          <w:rFonts w:hint="eastAsia" w:ascii="微软雅黑" w:hAnsi="微软雅黑" w:eastAsia="微软雅黑" w:cs="微软雅黑"/>
          <w:spacing w:val="-3"/>
          <w:sz w:val="24"/>
          <w:szCs w:val="24"/>
          <w:highlight w:val="none"/>
          <w:lang w:eastAsia="zh-CN"/>
        </w:rPr>
        <w:t>安徽美信</w:t>
      </w:r>
      <w:r>
        <w:rPr>
          <w:rFonts w:ascii="微软雅黑" w:hAnsi="微软雅黑" w:eastAsia="微软雅黑" w:cs="微软雅黑"/>
          <w:spacing w:val="-2"/>
          <w:sz w:val="24"/>
          <w:szCs w:val="24"/>
          <w:highlight w:val="none"/>
        </w:rPr>
        <w:t>和利益相关方以及社会公众之间的了解和沟通，实现企业的可持续发展。</w:t>
      </w:r>
    </w:p>
    <w:p w14:paraId="20DB5991">
      <w:pPr>
        <w:pStyle w:val="3"/>
        <w:spacing w:line="388" w:lineRule="auto"/>
        <w:rPr>
          <w:highlight w:val="none"/>
        </w:rPr>
      </w:pPr>
    </w:p>
    <w:p w14:paraId="33CE29A1">
      <w:pPr>
        <w:spacing w:before="103" w:line="228" w:lineRule="auto"/>
        <w:ind w:firstLine="481"/>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本报告的数据和案例全部来源于公司统计报</w:t>
      </w:r>
      <w:r>
        <w:rPr>
          <w:rFonts w:ascii="微软雅黑" w:hAnsi="微软雅黑" w:eastAsia="微软雅黑" w:cs="微软雅黑"/>
          <w:sz w:val="24"/>
          <w:szCs w:val="24"/>
          <w:highlight w:val="none"/>
        </w:rPr>
        <w:t>告</w:t>
      </w:r>
      <w:r>
        <w:rPr>
          <w:rFonts w:hint="eastAsia" w:ascii="微软雅黑" w:hAnsi="微软雅黑" w:eastAsia="微软雅黑" w:cs="微软雅黑"/>
          <w:sz w:val="24"/>
          <w:szCs w:val="24"/>
          <w:highlight w:val="none"/>
          <w:lang w:eastAsia="zh-CN"/>
        </w:rPr>
        <w:t>和</w:t>
      </w:r>
      <w:r>
        <w:rPr>
          <w:rFonts w:ascii="微软雅黑" w:hAnsi="微软雅黑" w:eastAsia="微软雅黑" w:cs="微软雅黑"/>
          <w:sz w:val="24"/>
          <w:szCs w:val="24"/>
          <w:highlight w:val="none"/>
        </w:rPr>
        <w:t>相关文件。公司承诺本报告不存在任何虚假记载、误导性陈述，并对其内容真实性、准确性和完整性负责</w:t>
      </w:r>
      <w:r>
        <w:rPr>
          <w:rFonts w:ascii="微软雅黑" w:hAnsi="微软雅黑" w:eastAsia="微软雅黑" w:cs="微软雅黑"/>
          <w:spacing w:val="-1"/>
          <w:sz w:val="24"/>
          <w:szCs w:val="24"/>
          <w:highlight w:val="none"/>
        </w:rPr>
        <w:t>。本报告时间跨度为202</w:t>
      </w:r>
      <w:r>
        <w:rPr>
          <w:rFonts w:hint="eastAsia" w:ascii="微软雅黑" w:hAnsi="微软雅黑" w:eastAsia="微软雅黑" w:cs="微软雅黑"/>
          <w:spacing w:val="-1"/>
          <w:sz w:val="24"/>
          <w:szCs w:val="24"/>
          <w:highlight w:val="none"/>
          <w:lang w:val="en-US" w:eastAsia="zh-CN"/>
        </w:rPr>
        <w:t>3</w:t>
      </w:r>
      <w:r>
        <w:rPr>
          <w:rFonts w:ascii="微软雅黑" w:hAnsi="微软雅黑" w:eastAsia="微软雅黑" w:cs="微软雅黑"/>
          <w:spacing w:val="-1"/>
          <w:sz w:val="24"/>
          <w:szCs w:val="24"/>
          <w:highlight w:val="none"/>
        </w:rPr>
        <w:t>年</w:t>
      </w:r>
      <w:r>
        <w:rPr>
          <w:rFonts w:ascii="微软雅黑" w:hAnsi="微软雅黑" w:eastAsia="微软雅黑" w:cs="微软雅黑"/>
          <w:spacing w:val="-9"/>
          <w:sz w:val="24"/>
          <w:szCs w:val="24"/>
          <w:highlight w:val="none"/>
        </w:rPr>
        <w:t>1月1日至202</w:t>
      </w:r>
      <w:r>
        <w:rPr>
          <w:rFonts w:hint="eastAsia" w:ascii="微软雅黑" w:hAnsi="微软雅黑" w:eastAsia="微软雅黑" w:cs="微软雅黑"/>
          <w:spacing w:val="-9"/>
          <w:sz w:val="24"/>
          <w:szCs w:val="24"/>
          <w:highlight w:val="none"/>
          <w:lang w:val="en-US" w:eastAsia="zh-CN"/>
        </w:rPr>
        <w:t>3</w:t>
      </w:r>
      <w:r>
        <w:rPr>
          <w:rFonts w:ascii="微软雅黑" w:hAnsi="微软雅黑" w:eastAsia="微软雅黑" w:cs="微软雅黑"/>
          <w:spacing w:val="-9"/>
          <w:sz w:val="24"/>
          <w:szCs w:val="24"/>
          <w:highlight w:val="none"/>
        </w:rPr>
        <w:t>年12月31日，所涉及的信息来源于公司内部数据、所属公司报送的资料，</w:t>
      </w:r>
      <w:r>
        <w:rPr>
          <w:rFonts w:ascii="微软雅黑" w:hAnsi="微软雅黑" w:eastAsia="微软雅黑" w:cs="微软雅黑"/>
          <w:spacing w:val="-6"/>
          <w:sz w:val="24"/>
          <w:szCs w:val="24"/>
          <w:highlight w:val="none"/>
        </w:rPr>
        <w:t>以及公开的资料。</w:t>
      </w:r>
    </w:p>
    <w:p w14:paraId="54E77BA2">
      <w:pPr>
        <w:pStyle w:val="3"/>
        <w:spacing w:line="388" w:lineRule="auto"/>
        <w:rPr>
          <w:highlight w:val="none"/>
        </w:rPr>
      </w:pPr>
    </w:p>
    <w:p w14:paraId="79FEFA54">
      <w:pPr>
        <w:spacing w:before="103" w:line="216" w:lineRule="auto"/>
        <w:ind w:left="11" w:firstLine="470"/>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5"/>
          <w:sz w:val="24"/>
          <w:szCs w:val="24"/>
          <w:highlight w:val="none"/>
        </w:rPr>
        <w:t>报告以“绿水青山永续经营”为主题，阐述公司202</w:t>
      </w:r>
      <w:r>
        <w:rPr>
          <w:rFonts w:hint="eastAsia" w:ascii="微软雅黑" w:hAnsi="微软雅黑" w:eastAsia="微软雅黑" w:cs="微软雅黑"/>
          <w:spacing w:val="-5"/>
          <w:sz w:val="24"/>
          <w:szCs w:val="24"/>
          <w:highlight w:val="none"/>
          <w:lang w:val="en-US" w:eastAsia="zh-CN"/>
        </w:rPr>
        <w:t>3</w:t>
      </w:r>
      <w:r>
        <w:rPr>
          <w:rFonts w:ascii="微软雅黑" w:hAnsi="微软雅黑" w:eastAsia="微软雅黑" w:cs="微软雅黑"/>
          <w:spacing w:val="-5"/>
          <w:sz w:val="24"/>
          <w:szCs w:val="24"/>
          <w:highlight w:val="none"/>
        </w:rPr>
        <w:t>年在经济、社会、环境等</w:t>
      </w:r>
      <w:r>
        <w:rPr>
          <w:rFonts w:ascii="微软雅黑" w:hAnsi="微软雅黑" w:eastAsia="微软雅黑" w:cs="微软雅黑"/>
          <w:spacing w:val="-6"/>
          <w:sz w:val="24"/>
          <w:szCs w:val="24"/>
          <w:highlight w:val="none"/>
        </w:rPr>
        <w:t>方面做出</w:t>
      </w:r>
      <w:r>
        <w:rPr>
          <w:rFonts w:ascii="微软雅黑" w:hAnsi="微软雅黑" w:eastAsia="微软雅黑" w:cs="微软雅黑"/>
          <w:spacing w:val="-9"/>
          <w:sz w:val="24"/>
          <w:szCs w:val="24"/>
          <w:highlight w:val="none"/>
        </w:rPr>
        <w:t>的行动和努力。报告将以中文版本发布。如需在线浏览或下载本报告，敬请访问</w:t>
      </w:r>
      <w:r>
        <w:rPr>
          <w:rFonts w:hint="eastAsia" w:ascii="微软雅黑" w:hAnsi="微软雅黑" w:eastAsia="微软雅黑" w:cs="微软雅黑"/>
          <w:spacing w:val="-9"/>
          <w:sz w:val="24"/>
          <w:szCs w:val="24"/>
          <w:highlight w:val="none"/>
          <w:lang w:eastAsia="zh-CN"/>
        </w:rPr>
        <w:t>安徽</w:t>
      </w:r>
      <w:r>
        <w:rPr>
          <w:rFonts w:hint="eastAsia" w:ascii="微软雅黑" w:hAnsi="微软雅黑" w:eastAsia="微软雅黑" w:cs="微软雅黑"/>
          <w:spacing w:val="-9"/>
          <w:sz w:val="24"/>
          <w:szCs w:val="24"/>
          <w:highlight w:val="none"/>
          <w:lang w:val="en-US" w:eastAsia="zh-CN"/>
        </w:rPr>
        <w:t>中基</w:t>
      </w:r>
      <w:r>
        <w:rPr>
          <w:rFonts w:ascii="微软雅黑" w:hAnsi="微软雅黑" w:eastAsia="微软雅黑" w:cs="微软雅黑"/>
          <w:spacing w:val="-9"/>
          <w:sz w:val="24"/>
          <w:szCs w:val="24"/>
          <w:highlight w:val="none"/>
        </w:rPr>
        <w:t>官网</w:t>
      </w:r>
      <w:r>
        <w:rPr>
          <w:rFonts w:hint="eastAsia" w:ascii="微软雅黑" w:hAnsi="微软雅黑" w:eastAsia="微软雅黑" w:cs="微软雅黑"/>
          <w:spacing w:val="-9"/>
          <w:sz w:val="24"/>
          <w:szCs w:val="24"/>
          <w:highlight w:val="none"/>
          <w:lang w:eastAsia="zh-CN"/>
        </w:rPr>
        <w:t>（</w:t>
      </w:r>
      <w:r>
        <w:rPr>
          <w:rFonts w:ascii="宋体" w:hAnsi="宋体" w:eastAsia="宋体" w:cs="宋体"/>
          <w:sz w:val="24"/>
          <w:szCs w:val="24"/>
          <w:highlight w:val="none"/>
        </w:rPr>
        <w:fldChar w:fldCharType="begin"/>
      </w:r>
      <w:r>
        <w:rPr>
          <w:rFonts w:ascii="宋体" w:hAnsi="宋体" w:eastAsia="宋体" w:cs="宋体"/>
          <w:sz w:val="24"/>
          <w:szCs w:val="24"/>
          <w:highlight w:val="none"/>
        </w:rPr>
        <w:instrText xml:space="preserve"> HYPERLINK "http://cn.ahzjalufoil.com/" </w:instrText>
      </w:r>
      <w:r>
        <w:rPr>
          <w:rFonts w:ascii="宋体" w:hAnsi="宋体" w:eastAsia="宋体" w:cs="宋体"/>
          <w:sz w:val="24"/>
          <w:szCs w:val="24"/>
          <w:highlight w:val="none"/>
        </w:rPr>
        <w:fldChar w:fldCharType="separate"/>
      </w:r>
      <w:r>
        <w:rPr>
          <w:rStyle w:val="8"/>
          <w:rFonts w:hint="eastAsia" w:ascii="宋体" w:hAnsi="宋体" w:eastAsia="宋体" w:cs="宋体"/>
          <w:sz w:val="24"/>
          <w:szCs w:val="24"/>
          <w:highlight w:val="none"/>
          <w:lang w:eastAsia="zh-CN"/>
        </w:rPr>
        <w:t>安徽</w:t>
      </w:r>
      <w:r>
        <w:rPr>
          <w:rStyle w:val="8"/>
          <w:rFonts w:hint="eastAsia" w:ascii="宋体" w:hAnsi="宋体" w:eastAsia="宋体" w:cs="宋体"/>
          <w:sz w:val="24"/>
          <w:szCs w:val="24"/>
          <w:highlight w:val="none"/>
          <w:lang w:val="en-US" w:eastAsia="zh-CN"/>
        </w:rPr>
        <w:t>中基</w:t>
      </w:r>
      <w:r>
        <w:rPr>
          <w:rStyle w:val="8"/>
          <w:rFonts w:ascii="宋体" w:hAnsi="宋体" w:eastAsia="宋体" w:cs="宋体"/>
          <w:sz w:val="24"/>
          <w:szCs w:val="24"/>
          <w:highlight w:val="none"/>
        </w:rPr>
        <w:t>电池箔科技有限公司(ahzjalufoil.com)</w:t>
      </w:r>
      <w:r>
        <w:rPr>
          <w:rFonts w:ascii="宋体" w:hAnsi="宋体" w:eastAsia="宋体" w:cs="宋体"/>
          <w:sz w:val="24"/>
          <w:szCs w:val="24"/>
          <w:highlight w:val="none"/>
        </w:rPr>
        <w:fldChar w:fldCharType="end"/>
      </w:r>
      <w:r>
        <w:rPr>
          <w:rFonts w:hint="eastAsia" w:ascii="微软雅黑" w:hAnsi="微软雅黑" w:eastAsia="微软雅黑" w:cs="微软雅黑"/>
          <w:spacing w:val="-9"/>
          <w:sz w:val="24"/>
          <w:szCs w:val="24"/>
          <w:highlight w:val="none"/>
          <w:lang w:eastAsia="zh-CN"/>
        </w:rPr>
        <w:t>）</w:t>
      </w:r>
    </w:p>
    <w:p w14:paraId="40E1DF5E">
      <w:pPr>
        <w:pStyle w:val="3"/>
        <w:spacing w:line="384" w:lineRule="auto"/>
        <w:rPr>
          <w:highlight w:val="none"/>
        </w:rPr>
      </w:pPr>
    </w:p>
    <w:p w14:paraId="2C379010">
      <w:pPr>
        <w:spacing w:before="103" w:line="241" w:lineRule="auto"/>
        <w:ind w:left="481"/>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如对本报告有任何建议或意见，请通过以下方式与我们联系：</w:t>
      </w:r>
    </w:p>
    <w:p w14:paraId="3114FBF5">
      <w:pPr>
        <w:spacing w:before="103" w:line="241" w:lineRule="auto"/>
        <w:ind w:left="481"/>
        <w:rPr>
          <w:rFonts w:ascii="微软雅黑" w:hAnsi="微软雅黑" w:eastAsia="微软雅黑" w:cs="微软雅黑"/>
          <w:spacing w:val="-2"/>
          <w:sz w:val="24"/>
          <w:szCs w:val="24"/>
          <w:highlight w:val="none"/>
        </w:rPr>
      </w:pPr>
      <w:r>
        <w:rPr>
          <w:rFonts w:ascii="微软雅黑" w:hAnsi="微软雅黑" w:eastAsia="微软雅黑" w:cs="微软雅黑"/>
          <w:spacing w:val="-2"/>
          <w:sz w:val="24"/>
          <w:szCs w:val="24"/>
          <w:highlight w:val="none"/>
        </w:rPr>
        <w:t>电话：</w:t>
      </w:r>
      <w:r>
        <w:rPr>
          <w:rFonts w:hint="eastAsia" w:ascii="微软雅黑" w:hAnsi="微软雅黑" w:eastAsia="微软雅黑" w:cs="微软雅黑"/>
          <w:spacing w:val="-2"/>
          <w:sz w:val="24"/>
          <w:szCs w:val="24"/>
          <w:highlight w:val="none"/>
          <w:lang w:val="en-US" w:eastAsia="zh-CN"/>
        </w:rPr>
        <w:t>0</w:t>
      </w:r>
      <w:r>
        <w:rPr>
          <w:rFonts w:hint="eastAsia" w:ascii="微软雅黑" w:hAnsi="微软雅黑" w:eastAsia="微软雅黑" w:cs="微软雅黑"/>
          <w:spacing w:val="-2"/>
          <w:sz w:val="24"/>
          <w:szCs w:val="24"/>
          <w:highlight w:val="none"/>
        </w:rPr>
        <w:t>561-7976888</w:t>
      </w:r>
    </w:p>
    <w:p w14:paraId="0C363EEF">
      <w:pPr>
        <w:spacing w:before="103" w:line="241" w:lineRule="auto"/>
        <w:ind w:left="481"/>
        <w:rPr>
          <w:rFonts w:hint="eastAsia" w:ascii="微软雅黑" w:hAnsi="微软雅黑" w:eastAsia="微软雅黑" w:cs="微软雅黑"/>
          <w:spacing w:val="-2"/>
          <w:sz w:val="24"/>
          <w:szCs w:val="24"/>
          <w:highlight w:val="none"/>
        </w:rPr>
      </w:pPr>
      <w:r>
        <w:rPr>
          <w:rFonts w:ascii="微软雅黑" w:hAnsi="微软雅黑" w:eastAsia="微软雅黑" w:cs="微软雅黑"/>
          <w:spacing w:val="-2"/>
          <w:sz w:val="24"/>
          <w:szCs w:val="24"/>
          <w:highlight w:val="none"/>
        </w:rPr>
        <w:t>邮箱</w:t>
      </w:r>
      <w:r>
        <w:rPr>
          <w:rFonts w:hint="eastAsia" w:ascii="微软雅黑" w:hAnsi="微软雅黑" w:eastAsia="微软雅黑" w:cs="微软雅黑"/>
          <w:spacing w:val="-2"/>
          <w:sz w:val="24"/>
          <w:szCs w:val="24"/>
          <w:highlight w:val="none"/>
        </w:rPr>
        <w:t>：zml@zjalufoil.com</w:t>
      </w:r>
    </w:p>
    <w:p w14:paraId="15B513D8">
      <w:pPr>
        <w:spacing w:line="179" w:lineRule="auto"/>
        <w:rPr>
          <w:rFonts w:ascii="微软雅黑" w:hAnsi="微软雅黑" w:eastAsia="微软雅黑" w:cs="微软雅黑"/>
          <w:sz w:val="24"/>
          <w:szCs w:val="24"/>
          <w:highlight w:val="none"/>
        </w:rPr>
        <w:sectPr>
          <w:headerReference r:id="rId7" w:type="default"/>
          <w:footerReference r:id="rId8" w:type="default"/>
          <w:pgSz w:w="11907" w:h="16839"/>
          <w:pgMar w:top="1208" w:right="1020" w:bottom="1251" w:left="1022" w:header="0" w:footer="1047" w:gutter="0"/>
          <w:pgNumType w:fmt="decimal"/>
          <w:cols w:space="720" w:num="1"/>
        </w:sectPr>
      </w:pPr>
    </w:p>
    <w:p w14:paraId="0CAEB720">
      <w:pPr>
        <w:spacing w:before="67" w:line="198" w:lineRule="auto"/>
        <w:ind w:left="10"/>
        <w:rPr>
          <w:rFonts w:ascii="微软雅黑" w:hAnsi="微软雅黑" w:eastAsia="微软雅黑" w:cs="微软雅黑"/>
          <w:sz w:val="31"/>
          <w:szCs w:val="31"/>
          <w:highlight w:val="none"/>
        </w:rPr>
      </w:pPr>
      <w:bookmarkStart w:id="1" w:name="bookmark2"/>
      <w:bookmarkEnd w:id="1"/>
      <w:r>
        <w:rPr>
          <w:rFonts w:ascii="微软雅黑" w:hAnsi="微软雅黑" w:eastAsia="微软雅黑" w:cs="微软雅黑"/>
          <w:b/>
          <w:bCs/>
          <w:spacing w:val="7"/>
          <w:sz w:val="31"/>
          <w:szCs w:val="31"/>
          <w:highlight w:val="none"/>
          <w:u w:val="single" w:color="auto"/>
        </w:rPr>
        <w:t>董事长致辞</w:t>
      </w:r>
    </w:p>
    <w:p w14:paraId="2BA5F214">
      <w:pPr>
        <w:pStyle w:val="3"/>
        <w:spacing w:line="295" w:lineRule="auto"/>
        <w:rPr>
          <w:highlight w:val="none"/>
        </w:rPr>
      </w:pPr>
    </w:p>
    <w:p w14:paraId="6BE0273B">
      <w:pPr>
        <w:pStyle w:val="3"/>
        <w:spacing w:line="296" w:lineRule="auto"/>
        <w:rPr>
          <w:highlight w:val="none"/>
        </w:rPr>
      </w:pPr>
    </w:p>
    <w:p w14:paraId="535F57A7">
      <w:pPr>
        <w:pStyle w:val="3"/>
        <w:keepNext w:val="0"/>
        <w:keepLines w:val="0"/>
        <w:pageBreakBefore w:val="0"/>
        <w:widowControl/>
        <w:kinsoku w:val="0"/>
        <w:wordWrap/>
        <w:overflowPunct/>
        <w:topLinePunct w:val="0"/>
        <w:autoSpaceDE w:val="0"/>
        <w:autoSpaceDN w:val="0"/>
        <w:bidi w:val="0"/>
        <w:adjustRightInd w:val="0"/>
        <w:snapToGrid w:val="0"/>
        <w:spacing w:line="264" w:lineRule="auto"/>
        <w:ind w:firstLine="468" w:firstLineChars="200"/>
        <w:textAlignment w:val="baseline"/>
        <w:rPr>
          <w:rFonts w:hint="eastAsia" w:ascii="微软雅黑" w:hAnsi="微软雅黑" w:eastAsia="微软雅黑" w:cs="微软雅黑"/>
          <w:spacing w:val="-3"/>
          <w:sz w:val="24"/>
          <w:szCs w:val="24"/>
          <w:highlight w:val="none"/>
        </w:rPr>
      </w:pPr>
      <w:r>
        <w:rPr>
          <w:rFonts w:hint="eastAsia" w:ascii="微软雅黑" w:hAnsi="微软雅黑" w:eastAsia="微软雅黑" w:cs="微软雅黑"/>
          <w:spacing w:val="-3"/>
          <w:sz w:val="24"/>
          <w:szCs w:val="24"/>
          <w:highlight w:val="none"/>
        </w:rPr>
        <w:t>非常感谢您阅读这份报告，并期待提出宝贵意见。</w:t>
      </w:r>
    </w:p>
    <w:p w14:paraId="4B70F3AE">
      <w:pPr>
        <w:pStyle w:val="3"/>
        <w:keepNext w:val="0"/>
        <w:keepLines w:val="0"/>
        <w:pageBreakBefore w:val="0"/>
        <w:widowControl/>
        <w:kinsoku w:val="0"/>
        <w:wordWrap/>
        <w:overflowPunct/>
        <w:topLinePunct w:val="0"/>
        <w:autoSpaceDE w:val="0"/>
        <w:autoSpaceDN w:val="0"/>
        <w:bidi w:val="0"/>
        <w:adjustRightInd w:val="0"/>
        <w:snapToGrid w:val="0"/>
        <w:spacing w:line="264" w:lineRule="auto"/>
        <w:ind w:firstLine="468" w:firstLineChars="200"/>
        <w:textAlignment w:val="baseline"/>
        <w:rPr>
          <w:rFonts w:hint="eastAsia" w:ascii="微软雅黑" w:hAnsi="微软雅黑" w:eastAsia="微软雅黑" w:cs="微软雅黑"/>
          <w:spacing w:val="-3"/>
          <w:sz w:val="24"/>
          <w:szCs w:val="24"/>
          <w:highlight w:val="none"/>
        </w:rPr>
      </w:pPr>
      <w:r>
        <w:rPr>
          <w:rFonts w:hint="eastAsia" w:ascii="微软雅黑" w:hAnsi="微软雅黑" w:eastAsia="微软雅黑" w:cs="微软雅黑"/>
          <w:spacing w:val="-3"/>
          <w:sz w:val="24"/>
          <w:szCs w:val="24"/>
          <w:highlight w:val="none"/>
        </w:rPr>
        <w:t>中国是全球最大的铝生产和消费国，在着力推进铝产业绿色健康可持续发展和变革方面，做出了富有成效的努力，取得了有目共睹的成果。</w:t>
      </w:r>
    </w:p>
    <w:p w14:paraId="07B557A7">
      <w:pPr>
        <w:pStyle w:val="3"/>
        <w:keepNext w:val="0"/>
        <w:keepLines w:val="0"/>
        <w:pageBreakBefore w:val="0"/>
        <w:widowControl/>
        <w:kinsoku w:val="0"/>
        <w:wordWrap/>
        <w:overflowPunct/>
        <w:topLinePunct w:val="0"/>
        <w:autoSpaceDE w:val="0"/>
        <w:autoSpaceDN w:val="0"/>
        <w:bidi w:val="0"/>
        <w:adjustRightInd w:val="0"/>
        <w:snapToGrid w:val="0"/>
        <w:spacing w:line="264" w:lineRule="auto"/>
        <w:ind w:firstLine="468" w:firstLineChars="200"/>
        <w:textAlignment w:val="baseline"/>
        <w:rPr>
          <w:rFonts w:hint="eastAsia" w:ascii="微软雅黑" w:hAnsi="微软雅黑" w:eastAsia="微软雅黑" w:cs="微软雅黑"/>
          <w:spacing w:val="-3"/>
          <w:sz w:val="24"/>
          <w:szCs w:val="24"/>
          <w:highlight w:val="none"/>
        </w:rPr>
      </w:pPr>
      <w:r>
        <w:rPr>
          <w:rFonts w:hint="eastAsia" w:ascii="微软雅黑" w:hAnsi="微软雅黑" w:eastAsia="微软雅黑" w:cs="微软雅黑"/>
          <w:spacing w:val="-3"/>
          <w:sz w:val="24"/>
          <w:szCs w:val="24"/>
          <w:highlight w:val="none"/>
        </w:rPr>
        <w:t>一直以来，</w:t>
      </w:r>
      <w:r>
        <w:rPr>
          <w:rFonts w:hint="eastAsia" w:ascii="微软雅黑" w:hAnsi="微软雅黑" w:eastAsia="微软雅黑" w:cs="微软雅黑"/>
          <w:spacing w:val="-3"/>
          <w:sz w:val="24"/>
          <w:szCs w:val="24"/>
          <w:highlight w:val="none"/>
          <w:lang w:eastAsia="zh-CN"/>
        </w:rPr>
        <w:t>安徽美信</w:t>
      </w:r>
      <w:r>
        <w:rPr>
          <w:rFonts w:hint="eastAsia" w:ascii="微软雅黑" w:hAnsi="微软雅黑" w:eastAsia="微软雅黑" w:cs="微软雅黑"/>
          <w:spacing w:val="-3"/>
          <w:sz w:val="24"/>
          <w:szCs w:val="24"/>
          <w:highlight w:val="none"/>
        </w:rPr>
        <w:t>坚持推进新型铝板带坯料的研发与创新，取得了卓越成效。</w:t>
      </w:r>
    </w:p>
    <w:p w14:paraId="55E1EA00">
      <w:pPr>
        <w:pStyle w:val="3"/>
        <w:keepNext w:val="0"/>
        <w:keepLines w:val="0"/>
        <w:pageBreakBefore w:val="0"/>
        <w:widowControl/>
        <w:kinsoku w:val="0"/>
        <w:wordWrap/>
        <w:overflowPunct/>
        <w:topLinePunct w:val="0"/>
        <w:autoSpaceDE w:val="0"/>
        <w:autoSpaceDN w:val="0"/>
        <w:bidi w:val="0"/>
        <w:adjustRightInd w:val="0"/>
        <w:snapToGrid w:val="0"/>
        <w:spacing w:line="264" w:lineRule="auto"/>
        <w:ind w:firstLine="468" w:firstLineChars="200"/>
        <w:textAlignment w:val="baseline"/>
        <w:rPr>
          <w:rFonts w:hint="eastAsia" w:ascii="微软雅黑" w:hAnsi="微软雅黑" w:eastAsia="微软雅黑" w:cs="微软雅黑"/>
          <w:spacing w:val="-3"/>
          <w:sz w:val="24"/>
          <w:szCs w:val="24"/>
          <w:highlight w:val="none"/>
        </w:rPr>
      </w:pPr>
      <w:r>
        <w:rPr>
          <w:rFonts w:hint="eastAsia" w:ascii="微软雅黑" w:hAnsi="微软雅黑" w:eastAsia="微软雅黑" w:cs="微软雅黑"/>
          <w:spacing w:val="-3"/>
          <w:sz w:val="24"/>
          <w:szCs w:val="24"/>
          <w:highlight w:val="none"/>
        </w:rPr>
        <w:t>铝作为有色金属，是仅次于钢铁的第三大金属材料，是国民经济基础建设所需的重要金属材料之一，产品品种有铝合金型材及铝合金板、卷、带、箔、管、线等，因其质轻、防腐、保温、美观等卓越的性能，被广泛地应用于航空航天、交通运输、建筑工程、电力电子、金属加工、医疗卫生、包装印刷、运动休闲、厨房家用等国民经济和人民生活的各个领域。我们的责任是在为客户提供更好产品的同时，最大限度的降低污染和能耗。</w:t>
      </w:r>
    </w:p>
    <w:p w14:paraId="799FF5DA">
      <w:pPr>
        <w:pStyle w:val="3"/>
        <w:keepNext w:val="0"/>
        <w:keepLines w:val="0"/>
        <w:pageBreakBefore w:val="0"/>
        <w:widowControl/>
        <w:kinsoku w:val="0"/>
        <w:wordWrap/>
        <w:overflowPunct/>
        <w:topLinePunct w:val="0"/>
        <w:autoSpaceDE w:val="0"/>
        <w:autoSpaceDN w:val="0"/>
        <w:bidi w:val="0"/>
        <w:adjustRightInd w:val="0"/>
        <w:snapToGrid w:val="0"/>
        <w:spacing w:line="264" w:lineRule="auto"/>
        <w:ind w:firstLine="468" w:firstLineChars="200"/>
        <w:textAlignment w:val="baseline"/>
        <w:rPr>
          <w:rFonts w:hint="eastAsia" w:ascii="微软雅黑" w:hAnsi="微软雅黑" w:eastAsia="微软雅黑" w:cs="微软雅黑"/>
          <w:spacing w:val="-3"/>
          <w:sz w:val="24"/>
          <w:szCs w:val="24"/>
          <w:highlight w:val="none"/>
        </w:rPr>
      </w:pPr>
      <w:r>
        <w:rPr>
          <w:rFonts w:hint="eastAsia" w:ascii="微软雅黑" w:hAnsi="微软雅黑" w:eastAsia="微软雅黑" w:cs="微软雅黑"/>
          <w:spacing w:val="-3"/>
          <w:sz w:val="24"/>
          <w:szCs w:val="24"/>
          <w:highlight w:val="none"/>
        </w:rPr>
        <w:t>在发展的过程中，我们必须坚定不移地实施节能减排、低碳环保战略，建设绿色企业。无论如何都不能以牺牲环境为代价来换取任何其他目标的实现。</w:t>
      </w:r>
    </w:p>
    <w:p w14:paraId="27FFE2FC">
      <w:pPr>
        <w:pStyle w:val="3"/>
        <w:keepNext w:val="0"/>
        <w:keepLines w:val="0"/>
        <w:pageBreakBefore w:val="0"/>
        <w:widowControl/>
        <w:kinsoku w:val="0"/>
        <w:wordWrap/>
        <w:overflowPunct/>
        <w:topLinePunct w:val="0"/>
        <w:autoSpaceDE w:val="0"/>
        <w:autoSpaceDN w:val="0"/>
        <w:bidi w:val="0"/>
        <w:adjustRightInd w:val="0"/>
        <w:snapToGrid w:val="0"/>
        <w:spacing w:line="264" w:lineRule="auto"/>
        <w:ind w:firstLine="468" w:firstLineChars="200"/>
        <w:textAlignment w:val="baseline"/>
        <w:rPr>
          <w:rFonts w:hint="eastAsia" w:ascii="微软雅黑" w:hAnsi="微软雅黑" w:eastAsia="微软雅黑" w:cs="微软雅黑"/>
          <w:spacing w:val="-3"/>
          <w:sz w:val="24"/>
          <w:szCs w:val="24"/>
          <w:highlight w:val="none"/>
        </w:rPr>
      </w:pPr>
      <w:r>
        <w:rPr>
          <w:rFonts w:hint="eastAsia" w:ascii="微软雅黑" w:hAnsi="微软雅黑" w:eastAsia="微软雅黑" w:cs="微软雅黑"/>
          <w:spacing w:val="-3"/>
          <w:sz w:val="24"/>
          <w:szCs w:val="24"/>
          <w:highlight w:val="none"/>
        </w:rPr>
        <w:t>要实现进一步降低污染和能耗，唯一有效的途径是坚持开展深入持久的研发，通过不断的发现和解决问题，不断的采用新技术、新设备、新方法来达到持续改善的效果。</w:t>
      </w:r>
    </w:p>
    <w:p w14:paraId="5DD33505">
      <w:pPr>
        <w:pStyle w:val="3"/>
        <w:keepNext w:val="0"/>
        <w:keepLines w:val="0"/>
        <w:pageBreakBefore w:val="0"/>
        <w:widowControl/>
        <w:kinsoku w:val="0"/>
        <w:wordWrap/>
        <w:overflowPunct/>
        <w:topLinePunct w:val="0"/>
        <w:autoSpaceDE w:val="0"/>
        <w:autoSpaceDN w:val="0"/>
        <w:bidi w:val="0"/>
        <w:adjustRightInd w:val="0"/>
        <w:snapToGrid w:val="0"/>
        <w:spacing w:line="264" w:lineRule="auto"/>
        <w:ind w:firstLine="468" w:firstLineChars="200"/>
        <w:textAlignment w:val="baseline"/>
        <w:rPr>
          <w:rFonts w:hint="eastAsia" w:ascii="微软雅黑" w:hAnsi="微软雅黑" w:eastAsia="微软雅黑" w:cs="微软雅黑"/>
          <w:spacing w:val="-3"/>
          <w:sz w:val="24"/>
          <w:szCs w:val="24"/>
          <w:highlight w:val="none"/>
        </w:rPr>
      </w:pPr>
      <w:r>
        <w:rPr>
          <w:rFonts w:hint="eastAsia" w:ascii="微软雅黑" w:hAnsi="微软雅黑" w:eastAsia="微软雅黑" w:cs="微软雅黑"/>
          <w:spacing w:val="-3"/>
          <w:sz w:val="24"/>
          <w:szCs w:val="24"/>
          <w:highlight w:val="none"/>
          <w:lang w:eastAsia="zh-CN"/>
        </w:rPr>
        <w:t>安徽美信</w:t>
      </w:r>
      <w:r>
        <w:rPr>
          <w:rFonts w:hint="eastAsia" w:ascii="微软雅黑" w:hAnsi="微软雅黑" w:eastAsia="微软雅黑" w:cs="微软雅黑"/>
          <w:spacing w:val="-3"/>
          <w:sz w:val="24"/>
          <w:szCs w:val="24"/>
          <w:highlight w:val="none"/>
        </w:rPr>
        <w:t>经营理念为产能最大化、市场份额最大化、效益最大化、社会贡献最大化，致力成为国际化、公众化的高科技铝加工企业。</w:t>
      </w:r>
    </w:p>
    <w:p w14:paraId="5CC40EC5">
      <w:pPr>
        <w:pStyle w:val="3"/>
        <w:keepNext w:val="0"/>
        <w:keepLines w:val="0"/>
        <w:pageBreakBefore w:val="0"/>
        <w:widowControl/>
        <w:kinsoku w:val="0"/>
        <w:wordWrap/>
        <w:overflowPunct/>
        <w:topLinePunct w:val="0"/>
        <w:autoSpaceDE w:val="0"/>
        <w:autoSpaceDN w:val="0"/>
        <w:bidi w:val="0"/>
        <w:adjustRightInd w:val="0"/>
        <w:snapToGrid w:val="0"/>
        <w:spacing w:line="264" w:lineRule="auto"/>
        <w:ind w:firstLine="468" w:firstLineChars="200"/>
        <w:textAlignment w:val="baseline"/>
        <w:rPr>
          <w:rFonts w:hint="eastAsia" w:ascii="微软雅黑" w:hAnsi="微软雅黑" w:eastAsia="微软雅黑" w:cs="微软雅黑"/>
          <w:spacing w:val="-3"/>
          <w:sz w:val="24"/>
          <w:szCs w:val="24"/>
          <w:highlight w:val="none"/>
        </w:rPr>
      </w:pPr>
      <w:r>
        <w:rPr>
          <w:rFonts w:hint="eastAsia" w:ascii="微软雅黑" w:hAnsi="微软雅黑" w:eastAsia="微软雅黑" w:cs="微软雅黑"/>
          <w:spacing w:val="-3"/>
          <w:sz w:val="24"/>
          <w:szCs w:val="24"/>
          <w:highlight w:val="none"/>
        </w:rPr>
        <w:t>我们在生产过程中，注重强化安全生产、环境保护、气候变化、人员健康等风险管理。建立并落实生产安全、环境安全、人员健康管理安全和执行检查体系。</w:t>
      </w:r>
    </w:p>
    <w:p w14:paraId="400BDB6A">
      <w:pPr>
        <w:pStyle w:val="3"/>
        <w:keepNext w:val="0"/>
        <w:keepLines w:val="0"/>
        <w:pageBreakBefore w:val="0"/>
        <w:widowControl/>
        <w:kinsoku w:val="0"/>
        <w:wordWrap/>
        <w:overflowPunct/>
        <w:topLinePunct w:val="0"/>
        <w:autoSpaceDE w:val="0"/>
        <w:autoSpaceDN w:val="0"/>
        <w:bidi w:val="0"/>
        <w:adjustRightInd w:val="0"/>
        <w:snapToGrid w:val="0"/>
        <w:spacing w:line="264" w:lineRule="auto"/>
        <w:ind w:firstLine="468" w:firstLineChars="200"/>
        <w:textAlignment w:val="baseline"/>
        <w:rPr>
          <w:rFonts w:hint="eastAsia" w:ascii="微软雅黑" w:hAnsi="微软雅黑" w:eastAsia="微软雅黑" w:cs="微软雅黑"/>
          <w:spacing w:val="-3"/>
          <w:sz w:val="24"/>
          <w:szCs w:val="24"/>
          <w:highlight w:val="none"/>
        </w:rPr>
      </w:pPr>
      <w:r>
        <w:rPr>
          <w:rFonts w:hint="eastAsia" w:ascii="微软雅黑" w:hAnsi="微软雅黑" w:eastAsia="微软雅黑" w:cs="微软雅黑"/>
          <w:spacing w:val="-3"/>
          <w:sz w:val="24"/>
          <w:szCs w:val="24"/>
          <w:highlight w:val="none"/>
          <w:lang w:eastAsia="zh-CN"/>
        </w:rPr>
        <w:t>安徽美信</w:t>
      </w:r>
      <w:r>
        <w:rPr>
          <w:rFonts w:hint="eastAsia" w:ascii="微软雅黑" w:hAnsi="微软雅黑" w:eastAsia="微软雅黑" w:cs="微软雅黑"/>
          <w:spacing w:val="-3"/>
          <w:sz w:val="24"/>
          <w:szCs w:val="24"/>
          <w:highlight w:val="none"/>
        </w:rPr>
        <w:t>的可持续发展离不开客户、供应商以及所有相关方的共同努力。我们将持续加大对铝这种清洁原材料的利用和循环，为构建可持续发展的绿色新世界添砖加瓦。非常感谢社会各界对</w:t>
      </w:r>
      <w:r>
        <w:rPr>
          <w:rFonts w:hint="eastAsia" w:ascii="微软雅黑" w:hAnsi="微软雅黑" w:eastAsia="微软雅黑" w:cs="微软雅黑"/>
          <w:spacing w:val="-3"/>
          <w:sz w:val="24"/>
          <w:szCs w:val="24"/>
          <w:highlight w:val="none"/>
          <w:lang w:eastAsia="zh-CN"/>
        </w:rPr>
        <w:t>安徽美信</w:t>
      </w:r>
      <w:r>
        <w:rPr>
          <w:rFonts w:hint="eastAsia" w:ascii="微软雅黑" w:hAnsi="微软雅黑" w:eastAsia="微软雅黑" w:cs="微软雅黑"/>
          <w:spacing w:val="-3"/>
          <w:sz w:val="24"/>
          <w:szCs w:val="24"/>
          <w:highlight w:val="none"/>
        </w:rPr>
        <w:t>的关注与支持。</w:t>
      </w:r>
    </w:p>
    <w:p w14:paraId="242A6824">
      <w:pPr>
        <w:pStyle w:val="3"/>
        <w:keepNext w:val="0"/>
        <w:keepLines w:val="0"/>
        <w:pageBreakBefore w:val="0"/>
        <w:widowControl/>
        <w:kinsoku w:val="0"/>
        <w:wordWrap/>
        <w:overflowPunct/>
        <w:topLinePunct w:val="0"/>
        <w:autoSpaceDE w:val="0"/>
        <w:autoSpaceDN w:val="0"/>
        <w:bidi w:val="0"/>
        <w:adjustRightInd w:val="0"/>
        <w:snapToGrid w:val="0"/>
        <w:spacing w:line="264" w:lineRule="auto"/>
        <w:ind w:firstLine="468" w:firstLineChars="200"/>
        <w:textAlignment w:val="baseline"/>
        <w:rPr>
          <w:highlight w:val="none"/>
        </w:rPr>
      </w:pPr>
      <w:r>
        <w:rPr>
          <w:rFonts w:hint="eastAsia" w:ascii="微软雅黑" w:hAnsi="微软雅黑" w:eastAsia="微软雅黑" w:cs="微软雅黑"/>
          <w:spacing w:val="-3"/>
          <w:sz w:val="24"/>
          <w:szCs w:val="24"/>
          <w:highlight w:val="none"/>
        </w:rPr>
        <w:t>再次致以诚挚的敬意。</w:t>
      </w:r>
    </w:p>
    <w:p w14:paraId="33279A8B">
      <w:pPr>
        <w:pStyle w:val="3"/>
        <w:spacing w:line="265" w:lineRule="auto"/>
        <w:rPr>
          <w:highlight w:val="none"/>
        </w:rPr>
      </w:pPr>
    </w:p>
    <w:p w14:paraId="17D98D07">
      <w:pPr>
        <w:pStyle w:val="3"/>
        <w:spacing w:line="265" w:lineRule="auto"/>
        <w:rPr>
          <w:highlight w:val="none"/>
        </w:rPr>
      </w:pPr>
    </w:p>
    <w:p w14:paraId="76FBB691">
      <w:pPr>
        <w:spacing w:before="104" w:line="194" w:lineRule="auto"/>
        <w:ind w:right="1"/>
        <w:jc w:val="right"/>
        <w:rPr>
          <w:rFonts w:ascii="微软雅黑" w:hAnsi="微软雅黑" w:eastAsia="微软雅黑" w:cs="微软雅黑"/>
          <w:sz w:val="24"/>
          <w:szCs w:val="24"/>
          <w:highlight w:val="none"/>
        </w:rPr>
      </w:pPr>
      <w:r>
        <w:rPr>
          <w:rFonts w:hint="eastAsia" w:ascii="微软雅黑" w:hAnsi="微软雅黑" w:eastAsia="微软雅黑" w:cs="微软雅黑"/>
          <w:spacing w:val="-1"/>
          <w:sz w:val="24"/>
          <w:szCs w:val="24"/>
          <w:highlight w:val="none"/>
          <w:lang w:eastAsia="zh-CN"/>
        </w:rPr>
        <w:t>安徽美信</w:t>
      </w:r>
      <w:r>
        <w:rPr>
          <w:rFonts w:ascii="微软雅黑" w:hAnsi="微软雅黑" w:eastAsia="微软雅黑" w:cs="微软雅黑"/>
          <w:spacing w:val="-1"/>
          <w:sz w:val="24"/>
          <w:szCs w:val="24"/>
          <w:highlight w:val="none"/>
        </w:rPr>
        <w:t>董事长：杜继兴</w:t>
      </w:r>
    </w:p>
    <w:p w14:paraId="5B815062">
      <w:pPr>
        <w:spacing w:line="194" w:lineRule="auto"/>
        <w:rPr>
          <w:rFonts w:ascii="微软雅黑" w:hAnsi="微软雅黑" w:eastAsia="微软雅黑" w:cs="微软雅黑"/>
          <w:sz w:val="24"/>
          <w:szCs w:val="24"/>
          <w:highlight w:val="none"/>
        </w:rPr>
        <w:sectPr>
          <w:footerReference r:id="rId9" w:type="default"/>
          <w:pgSz w:w="11907" w:h="16839"/>
          <w:pgMar w:top="1208" w:right="1022" w:bottom="1251" w:left="1021" w:header="0" w:footer="1047" w:gutter="0"/>
          <w:pgNumType w:fmt="decimal"/>
          <w:cols w:space="720" w:num="1"/>
        </w:sectPr>
      </w:pPr>
    </w:p>
    <w:p w14:paraId="6A4D6C9C">
      <w:pPr>
        <w:spacing w:before="66" w:line="199" w:lineRule="auto"/>
        <w:ind w:left="3"/>
        <w:rPr>
          <w:rFonts w:hint="eastAsia" w:ascii="微软雅黑" w:hAnsi="微软雅黑" w:eastAsia="微软雅黑" w:cs="微软雅黑"/>
          <w:sz w:val="31"/>
          <w:szCs w:val="31"/>
          <w:highlight w:val="none"/>
          <w:lang w:eastAsia="zh-CN"/>
        </w:rPr>
      </w:pPr>
      <w:bookmarkStart w:id="2" w:name="bookmark3"/>
      <w:bookmarkEnd w:id="2"/>
      <w:r>
        <w:rPr>
          <w:rFonts w:ascii="微软雅黑" w:hAnsi="微软雅黑" w:eastAsia="微软雅黑" w:cs="微软雅黑"/>
          <w:b/>
          <w:bCs/>
          <w:spacing w:val="8"/>
          <w:sz w:val="31"/>
          <w:szCs w:val="31"/>
          <w:highlight w:val="none"/>
          <w:u w:val="single" w:color="auto"/>
        </w:rPr>
        <w:t>关于</w:t>
      </w:r>
      <w:r>
        <w:rPr>
          <w:rFonts w:hint="eastAsia" w:ascii="微软雅黑" w:hAnsi="微软雅黑" w:eastAsia="微软雅黑" w:cs="微软雅黑"/>
          <w:b/>
          <w:bCs/>
          <w:spacing w:val="8"/>
          <w:sz w:val="31"/>
          <w:szCs w:val="31"/>
          <w:highlight w:val="none"/>
          <w:u w:val="single" w:color="auto"/>
          <w:lang w:eastAsia="zh-CN"/>
        </w:rPr>
        <w:t>安徽美信</w:t>
      </w:r>
    </w:p>
    <w:p w14:paraId="50CD637A">
      <w:pPr>
        <w:pStyle w:val="3"/>
        <w:spacing w:line="295" w:lineRule="auto"/>
        <w:rPr>
          <w:highlight w:val="none"/>
        </w:rPr>
      </w:pPr>
    </w:p>
    <w:p w14:paraId="6E19819C">
      <w:pPr>
        <w:pStyle w:val="3"/>
        <w:spacing w:line="296" w:lineRule="auto"/>
        <w:rPr>
          <w:highlight w:val="none"/>
        </w:rPr>
      </w:pPr>
    </w:p>
    <w:p w14:paraId="79CC7582">
      <w:pPr>
        <w:pStyle w:val="3"/>
        <w:keepNext w:val="0"/>
        <w:keepLines w:val="0"/>
        <w:pageBreakBefore w:val="0"/>
        <w:widowControl/>
        <w:kinsoku w:val="0"/>
        <w:wordWrap/>
        <w:overflowPunct/>
        <w:topLinePunct w:val="0"/>
        <w:autoSpaceDE w:val="0"/>
        <w:autoSpaceDN w:val="0"/>
        <w:bidi w:val="0"/>
        <w:adjustRightInd w:val="0"/>
        <w:snapToGrid w:val="0"/>
        <w:spacing w:line="264" w:lineRule="auto"/>
        <w:ind w:firstLine="468" w:firstLineChars="200"/>
        <w:jc w:val="both"/>
        <w:textAlignment w:val="baseline"/>
        <w:rPr>
          <w:rFonts w:hint="eastAsia" w:ascii="微软雅黑" w:hAnsi="微软雅黑" w:eastAsia="微软雅黑" w:cs="微软雅黑"/>
          <w:spacing w:val="-3"/>
          <w:sz w:val="24"/>
          <w:szCs w:val="24"/>
          <w:highlight w:val="none"/>
          <w:lang w:eastAsia="zh-CN"/>
        </w:rPr>
      </w:pPr>
      <w:bookmarkStart w:id="3" w:name="bookmark4"/>
      <w:bookmarkEnd w:id="3"/>
      <w:bookmarkStart w:id="4" w:name="bookmark5"/>
      <w:bookmarkEnd w:id="4"/>
      <w:r>
        <w:rPr>
          <w:rFonts w:hint="eastAsia" w:ascii="微软雅黑" w:hAnsi="微软雅黑" w:eastAsia="微软雅黑" w:cs="微软雅黑"/>
          <w:spacing w:val="-3"/>
          <w:sz w:val="24"/>
          <w:szCs w:val="24"/>
          <w:highlight w:val="none"/>
          <w:lang w:eastAsia="zh-CN"/>
        </w:rPr>
        <w:t>安徽美信铝业有限公司始建于2011年，位于濉溪经济开发区樱花西路。于2017年被万顺新材（股票代码：300057）旗下江苏中基复合材料有限公司全资收购，2021年11月，安徽美信更名为安徽</w:t>
      </w:r>
      <w:r>
        <w:rPr>
          <w:rFonts w:hint="eastAsia" w:ascii="微软雅黑" w:hAnsi="微软雅黑" w:eastAsia="微软雅黑" w:cs="微软雅黑"/>
          <w:spacing w:val="-3"/>
          <w:sz w:val="24"/>
          <w:szCs w:val="24"/>
          <w:highlight w:val="none"/>
          <w:lang w:val="en-US" w:eastAsia="zh-CN"/>
        </w:rPr>
        <w:t>中基</w:t>
      </w:r>
      <w:r>
        <w:rPr>
          <w:rFonts w:hint="eastAsia" w:ascii="微软雅黑" w:hAnsi="微软雅黑" w:eastAsia="微软雅黑" w:cs="微软雅黑"/>
          <w:spacing w:val="-3"/>
          <w:sz w:val="24"/>
          <w:szCs w:val="24"/>
          <w:highlight w:val="none"/>
          <w:lang w:eastAsia="zh-CN"/>
        </w:rPr>
        <w:t>电池箔科技有限公司。安徽美信铝业有限公司于20</w:t>
      </w:r>
      <w:r>
        <w:rPr>
          <w:rFonts w:hint="eastAsia" w:ascii="微软雅黑" w:hAnsi="微软雅黑" w:eastAsia="微软雅黑" w:cs="微软雅黑"/>
          <w:spacing w:val="-3"/>
          <w:sz w:val="24"/>
          <w:szCs w:val="24"/>
          <w:highlight w:val="none"/>
          <w:lang w:val="en-US" w:eastAsia="zh-CN"/>
        </w:rPr>
        <w:t>22</w:t>
      </w:r>
      <w:r>
        <w:rPr>
          <w:rFonts w:hint="eastAsia" w:ascii="微软雅黑" w:hAnsi="微软雅黑" w:eastAsia="微软雅黑" w:cs="微软雅黑"/>
          <w:spacing w:val="-3"/>
          <w:sz w:val="24"/>
          <w:szCs w:val="24"/>
          <w:highlight w:val="none"/>
          <w:lang w:eastAsia="zh-CN"/>
        </w:rPr>
        <w:t>年</w:t>
      </w:r>
      <w:r>
        <w:rPr>
          <w:rFonts w:hint="eastAsia" w:ascii="微软雅黑" w:hAnsi="微软雅黑" w:eastAsia="微软雅黑" w:cs="微软雅黑"/>
          <w:spacing w:val="-3"/>
          <w:sz w:val="24"/>
          <w:szCs w:val="24"/>
          <w:highlight w:val="none"/>
          <w:lang w:val="en-US" w:eastAsia="zh-CN"/>
        </w:rPr>
        <w:t>12</w:t>
      </w:r>
      <w:r>
        <w:rPr>
          <w:rFonts w:hint="eastAsia" w:ascii="微软雅黑" w:hAnsi="微软雅黑" w:eastAsia="微软雅黑" w:cs="微软雅黑"/>
          <w:spacing w:val="-3"/>
          <w:sz w:val="24"/>
          <w:szCs w:val="24"/>
          <w:highlight w:val="none"/>
          <w:lang w:eastAsia="zh-CN"/>
        </w:rPr>
        <w:t>月</w:t>
      </w:r>
      <w:r>
        <w:rPr>
          <w:rFonts w:hint="eastAsia" w:ascii="微软雅黑" w:hAnsi="微软雅黑" w:eastAsia="微软雅黑" w:cs="微软雅黑"/>
          <w:spacing w:val="-3"/>
          <w:sz w:val="24"/>
          <w:szCs w:val="24"/>
          <w:highlight w:val="none"/>
          <w:lang w:val="en-US" w:eastAsia="zh-CN"/>
        </w:rPr>
        <w:t>重新</w:t>
      </w:r>
      <w:r>
        <w:rPr>
          <w:rFonts w:hint="eastAsia" w:ascii="微软雅黑" w:hAnsi="微软雅黑" w:eastAsia="微软雅黑" w:cs="微软雅黑"/>
          <w:spacing w:val="-3"/>
          <w:sz w:val="24"/>
          <w:szCs w:val="24"/>
          <w:highlight w:val="none"/>
          <w:lang w:eastAsia="zh-CN"/>
        </w:rPr>
        <w:t>登记注册成立，注册资本</w:t>
      </w:r>
      <w:r>
        <w:rPr>
          <w:rFonts w:hint="eastAsia" w:ascii="微软雅黑" w:hAnsi="微软雅黑" w:eastAsia="微软雅黑" w:cs="微软雅黑"/>
          <w:spacing w:val="-3"/>
          <w:sz w:val="24"/>
          <w:szCs w:val="24"/>
          <w:highlight w:val="none"/>
          <w:lang w:val="en-US" w:eastAsia="zh-CN"/>
        </w:rPr>
        <w:t>1</w:t>
      </w:r>
      <w:r>
        <w:rPr>
          <w:rFonts w:hint="eastAsia" w:ascii="微软雅黑" w:hAnsi="微软雅黑" w:eastAsia="微软雅黑" w:cs="微软雅黑"/>
          <w:spacing w:val="-3"/>
          <w:sz w:val="24"/>
          <w:szCs w:val="24"/>
          <w:highlight w:val="none"/>
          <w:lang w:eastAsia="zh-CN"/>
        </w:rPr>
        <w:t>亿</w:t>
      </w:r>
      <w:r>
        <w:rPr>
          <w:rFonts w:hint="eastAsia" w:ascii="微软雅黑" w:hAnsi="微软雅黑" w:eastAsia="微软雅黑" w:cs="微软雅黑"/>
          <w:spacing w:val="-3"/>
          <w:sz w:val="24"/>
          <w:szCs w:val="24"/>
          <w:highlight w:val="none"/>
          <w:lang w:val="en-US" w:eastAsia="zh-CN"/>
        </w:rPr>
        <w:t>6000万</w:t>
      </w:r>
      <w:r>
        <w:rPr>
          <w:rFonts w:hint="eastAsia" w:ascii="微软雅黑" w:hAnsi="微软雅黑" w:eastAsia="微软雅黑" w:cs="微软雅黑"/>
          <w:spacing w:val="-3"/>
          <w:sz w:val="24"/>
          <w:szCs w:val="24"/>
          <w:highlight w:val="none"/>
          <w:lang w:eastAsia="zh-CN"/>
        </w:rPr>
        <w:t>元人民币；</w:t>
      </w:r>
      <w:r>
        <w:rPr>
          <w:rFonts w:hint="eastAsia" w:ascii="微软雅黑" w:hAnsi="微软雅黑" w:eastAsia="微软雅黑" w:cs="微软雅黑"/>
          <w:spacing w:val="-3"/>
          <w:sz w:val="24"/>
          <w:szCs w:val="24"/>
          <w:highlight w:val="none"/>
          <w:lang w:val="en-US" w:eastAsia="zh-CN"/>
        </w:rPr>
        <w:t>公司包含熔</w:t>
      </w:r>
      <w:r>
        <w:rPr>
          <w:rFonts w:hint="eastAsia" w:ascii="微软雅黑" w:hAnsi="微软雅黑" w:eastAsia="微软雅黑" w:cs="微软雅黑"/>
          <w:spacing w:val="-3"/>
          <w:sz w:val="24"/>
          <w:szCs w:val="24"/>
          <w:highlight w:val="none"/>
          <w:lang w:eastAsia="zh-CN"/>
        </w:rPr>
        <w:t>铸、冷轧</w:t>
      </w:r>
      <w:r>
        <w:rPr>
          <w:rFonts w:hint="eastAsia" w:ascii="微软雅黑" w:hAnsi="微软雅黑" w:eastAsia="微软雅黑" w:cs="微软雅黑"/>
          <w:spacing w:val="-3"/>
          <w:sz w:val="24"/>
          <w:szCs w:val="24"/>
          <w:highlight w:val="none"/>
          <w:lang w:val="en-US" w:eastAsia="zh-CN"/>
        </w:rPr>
        <w:t>两</w:t>
      </w:r>
      <w:r>
        <w:rPr>
          <w:rFonts w:hint="eastAsia" w:ascii="微软雅黑" w:hAnsi="微软雅黑" w:eastAsia="微软雅黑" w:cs="微软雅黑"/>
          <w:spacing w:val="-3"/>
          <w:sz w:val="24"/>
          <w:szCs w:val="24"/>
          <w:highlight w:val="none"/>
          <w:lang w:eastAsia="zh-CN"/>
        </w:rPr>
        <w:t>大车间，厂房面积</w:t>
      </w:r>
      <w:r>
        <w:rPr>
          <w:rFonts w:hint="eastAsia" w:ascii="微软雅黑" w:hAnsi="微软雅黑" w:eastAsia="微软雅黑" w:cs="微软雅黑"/>
          <w:spacing w:val="-3"/>
          <w:sz w:val="24"/>
          <w:szCs w:val="24"/>
          <w:highlight w:val="none"/>
          <w:lang w:val="en-US" w:eastAsia="zh-CN"/>
        </w:rPr>
        <w:t>2.4</w:t>
      </w:r>
      <w:r>
        <w:rPr>
          <w:rFonts w:hint="eastAsia" w:ascii="微软雅黑" w:hAnsi="微软雅黑" w:eastAsia="微软雅黑" w:cs="微软雅黑"/>
          <w:spacing w:val="-3"/>
          <w:sz w:val="24"/>
          <w:szCs w:val="24"/>
          <w:highlight w:val="none"/>
          <w:lang w:eastAsia="zh-CN"/>
        </w:rPr>
        <w:t>万平米，现有职工宿舍楼3栋。</w:t>
      </w:r>
    </w:p>
    <w:p w14:paraId="4704F2BE">
      <w:pPr>
        <w:pStyle w:val="3"/>
        <w:keepNext w:val="0"/>
        <w:keepLines w:val="0"/>
        <w:pageBreakBefore w:val="0"/>
        <w:widowControl/>
        <w:kinsoku w:val="0"/>
        <w:wordWrap/>
        <w:overflowPunct/>
        <w:topLinePunct w:val="0"/>
        <w:autoSpaceDE w:val="0"/>
        <w:autoSpaceDN w:val="0"/>
        <w:bidi w:val="0"/>
        <w:adjustRightInd w:val="0"/>
        <w:snapToGrid w:val="0"/>
        <w:spacing w:line="264" w:lineRule="auto"/>
        <w:ind w:firstLine="468" w:firstLineChars="200"/>
        <w:jc w:val="both"/>
        <w:textAlignment w:val="baseline"/>
        <w:rPr>
          <w:rFonts w:hint="eastAsia" w:ascii="微软雅黑" w:hAnsi="微软雅黑" w:eastAsia="微软雅黑" w:cs="微软雅黑"/>
          <w:spacing w:val="-3"/>
          <w:sz w:val="24"/>
          <w:szCs w:val="24"/>
          <w:highlight w:val="none"/>
          <w:lang w:eastAsia="zh-CN"/>
        </w:rPr>
      </w:pPr>
      <w:r>
        <w:rPr>
          <w:rFonts w:hint="eastAsia" w:ascii="微软雅黑" w:hAnsi="微软雅黑" w:eastAsia="微软雅黑" w:cs="微软雅黑"/>
          <w:spacing w:val="-3"/>
          <w:sz w:val="24"/>
          <w:szCs w:val="24"/>
          <w:highlight w:val="none"/>
          <w:lang w:eastAsia="zh-CN"/>
        </w:rPr>
        <w:t>公司主营产品</w:t>
      </w:r>
      <w:r>
        <w:rPr>
          <w:rFonts w:hint="eastAsia" w:ascii="微软雅黑" w:hAnsi="微软雅黑" w:eastAsia="微软雅黑" w:cs="微软雅黑"/>
          <w:spacing w:val="-3"/>
          <w:sz w:val="24"/>
          <w:szCs w:val="24"/>
          <w:highlight w:val="none"/>
          <w:lang w:val="en-US" w:eastAsia="zh-CN"/>
        </w:rPr>
        <w:t>为</w:t>
      </w:r>
      <w:r>
        <w:rPr>
          <w:rFonts w:hint="eastAsia" w:ascii="微软雅黑" w:hAnsi="微软雅黑" w:eastAsia="微软雅黑" w:cs="微软雅黑"/>
          <w:spacing w:val="-3"/>
          <w:sz w:val="24"/>
          <w:szCs w:val="24"/>
          <w:highlight w:val="none"/>
          <w:lang w:eastAsia="zh-CN"/>
        </w:rPr>
        <w:t xml:space="preserve">铝板带。 </w:t>
      </w:r>
    </w:p>
    <w:p w14:paraId="061A812E">
      <w:pPr>
        <w:pStyle w:val="3"/>
        <w:keepNext w:val="0"/>
        <w:keepLines w:val="0"/>
        <w:pageBreakBefore w:val="0"/>
        <w:widowControl/>
        <w:kinsoku w:val="0"/>
        <w:wordWrap/>
        <w:overflowPunct/>
        <w:topLinePunct w:val="0"/>
        <w:autoSpaceDE w:val="0"/>
        <w:autoSpaceDN w:val="0"/>
        <w:bidi w:val="0"/>
        <w:adjustRightInd w:val="0"/>
        <w:snapToGrid w:val="0"/>
        <w:spacing w:line="264" w:lineRule="auto"/>
        <w:ind w:firstLine="468" w:firstLineChars="200"/>
        <w:jc w:val="both"/>
        <w:textAlignment w:val="baseline"/>
        <w:rPr>
          <w:rFonts w:hint="eastAsia" w:ascii="微软雅黑" w:hAnsi="微软雅黑" w:eastAsia="微软雅黑" w:cs="微软雅黑"/>
          <w:spacing w:val="-3"/>
          <w:sz w:val="24"/>
          <w:szCs w:val="24"/>
          <w:highlight w:val="none"/>
          <w:lang w:eastAsia="zh-CN"/>
        </w:rPr>
      </w:pPr>
      <w:r>
        <w:rPr>
          <w:rFonts w:hint="eastAsia" w:ascii="微软雅黑" w:hAnsi="微软雅黑" w:eastAsia="微软雅黑" w:cs="微软雅黑"/>
          <w:spacing w:val="-3"/>
          <w:sz w:val="24"/>
          <w:szCs w:val="24"/>
          <w:highlight w:val="none"/>
          <w:lang w:eastAsia="zh-CN"/>
        </w:rPr>
        <w:t>铝板带</w:t>
      </w:r>
    </w:p>
    <w:p w14:paraId="5A269BBA">
      <w:pPr>
        <w:pStyle w:val="3"/>
        <w:keepNext w:val="0"/>
        <w:keepLines w:val="0"/>
        <w:pageBreakBefore w:val="0"/>
        <w:widowControl/>
        <w:kinsoku w:val="0"/>
        <w:wordWrap/>
        <w:overflowPunct/>
        <w:topLinePunct w:val="0"/>
        <w:autoSpaceDE w:val="0"/>
        <w:autoSpaceDN w:val="0"/>
        <w:bidi w:val="0"/>
        <w:adjustRightInd w:val="0"/>
        <w:snapToGrid w:val="0"/>
        <w:spacing w:line="264" w:lineRule="auto"/>
        <w:ind w:firstLine="468" w:firstLineChars="200"/>
        <w:jc w:val="both"/>
        <w:textAlignment w:val="baseline"/>
        <w:rPr>
          <w:rFonts w:hint="default" w:ascii="微软雅黑" w:hAnsi="微软雅黑" w:eastAsia="微软雅黑" w:cs="微软雅黑"/>
          <w:spacing w:val="-3"/>
          <w:sz w:val="24"/>
          <w:szCs w:val="24"/>
          <w:highlight w:val="none"/>
          <w:lang w:val="en-US" w:eastAsia="zh-CN"/>
        </w:rPr>
      </w:pPr>
      <w:r>
        <w:rPr>
          <w:rFonts w:hint="eastAsia" w:ascii="微软雅黑" w:hAnsi="微软雅黑" w:eastAsia="微软雅黑" w:cs="微软雅黑"/>
          <w:spacing w:val="-3"/>
          <w:sz w:val="24"/>
          <w:szCs w:val="24"/>
          <w:highlight w:val="none"/>
          <w:lang w:eastAsia="zh-CN"/>
        </w:rPr>
        <w:t>为投资9.5亿元，年产6万吨高精铝板带项目。采用先进的日本三井在线除气装置、三井板式过滤装置，冷轧机AGC(厚度）/AFC(板形）控制系统，引进世界先进水平的法塔亨特公司的h系统 、ABB压磁式板型辊、赛默飞世尔X-射线测厚仪，</w:t>
      </w:r>
      <w:r>
        <w:rPr>
          <w:rFonts w:hint="eastAsia" w:ascii="微软雅黑" w:hAnsi="微软雅黑" w:eastAsia="微软雅黑" w:cs="微软雅黑"/>
          <w:spacing w:val="-3"/>
          <w:sz w:val="24"/>
          <w:szCs w:val="24"/>
          <w:highlight w:val="none"/>
          <w:lang w:val="en-US" w:eastAsia="zh-CN"/>
        </w:rPr>
        <w:t>车间熔炼炉、保温炉各6台；铸轧线共6条；退火炉6台；冷轧机、磨床、重卷机各1台。</w:t>
      </w:r>
    </w:p>
    <w:p w14:paraId="5C3CD1FA">
      <w:pPr>
        <w:pStyle w:val="3"/>
        <w:keepNext w:val="0"/>
        <w:keepLines w:val="0"/>
        <w:pageBreakBefore w:val="0"/>
        <w:widowControl/>
        <w:kinsoku w:val="0"/>
        <w:wordWrap/>
        <w:overflowPunct/>
        <w:topLinePunct w:val="0"/>
        <w:autoSpaceDE w:val="0"/>
        <w:autoSpaceDN w:val="0"/>
        <w:bidi w:val="0"/>
        <w:adjustRightInd w:val="0"/>
        <w:snapToGrid w:val="0"/>
        <w:spacing w:line="264" w:lineRule="auto"/>
        <w:ind w:firstLine="468" w:firstLineChars="200"/>
        <w:jc w:val="both"/>
        <w:textAlignment w:val="baseline"/>
        <w:rPr>
          <w:rFonts w:hint="eastAsia" w:ascii="微软雅黑" w:hAnsi="微软雅黑" w:eastAsia="微软雅黑" w:cs="微软雅黑"/>
          <w:spacing w:val="-3"/>
          <w:sz w:val="24"/>
          <w:szCs w:val="24"/>
          <w:highlight w:val="none"/>
          <w:lang w:eastAsia="zh-CN"/>
        </w:rPr>
      </w:pPr>
      <w:r>
        <w:rPr>
          <w:rFonts w:hint="eastAsia" w:ascii="微软雅黑" w:hAnsi="微软雅黑" w:eastAsia="微软雅黑" w:cs="微软雅黑"/>
          <w:spacing w:val="-3"/>
          <w:sz w:val="24"/>
          <w:szCs w:val="24"/>
          <w:highlight w:val="none"/>
          <w:lang w:eastAsia="zh-CN"/>
        </w:rPr>
        <w:t>安徽美信主要产品为</w:t>
      </w:r>
      <w:r>
        <w:rPr>
          <w:rFonts w:hint="eastAsia" w:ascii="微软雅黑" w:hAnsi="微软雅黑" w:eastAsia="微软雅黑" w:cs="微软雅黑"/>
          <w:spacing w:val="-3"/>
          <w:sz w:val="24"/>
          <w:szCs w:val="24"/>
          <w:highlight w:val="none"/>
          <w:lang w:val="en-US" w:eastAsia="zh-CN"/>
        </w:rPr>
        <w:t>高端双零铝箔坯料和</w:t>
      </w:r>
      <w:r>
        <w:rPr>
          <w:rFonts w:hint="eastAsia" w:ascii="微软雅黑" w:hAnsi="微软雅黑" w:eastAsia="微软雅黑" w:cs="微软雅黑"/>
          <w:spacing w:val="-3"/>
          <w:sz w:val="24"/>
          <w:szCs w:val="24"/>
          <w:highlight w:val="none"/>
          <w:lang w:eastAsia="zh-CN"/>
        </w:rPr>
        <w:t>电池铝箔</w:t>
      </w:r>
      <w:r>
        <w:rPr>
          <w:rFonts w:hint="eastAsia" w:ascii="微软雅黑" w:hAnsi="微软雅黑" w:eastAsia="微软雅黑" w:cs="微软雅黑"/>
          <w:spacing w:val="-3"/>
          <w:sz w:val="24"/>
          <w:szCs w:val="24"/>
          <w:highlight w:val="none"/>
          <w:lang w:val="en-US" w:eastAsia="zh-CN"/>
        </w:rPr>
        <w:t>坯料</w:t>
      </w:r>
      <w:r>
        <w:rPr>
          <w:rFonts w:hint="eastAsia" w:ascii="微软雅黑" w:hAnsi="微软雅黑" w:eastAsia="微软雅黑" w:cs="微软雅黑"/>
          <w:spacing w:val="-3"/>
          <w:sz w:val="24"/>
          <w:szCs w:val="24"/>
          <w:highlight w:val="none"/>
          <w:lang w:eastAsia="zh-CN"/>
        </w:rPr>
        <w:t>，合金有1235、</w:t>
      </w:r>
      <w:r>
        <w:rPr>
          <w:rFonts w:hint="eastAsia" w:ascii="微软雅黑" w:hAnsi="微软雅黑" w:eastAsia="微软雅黑" w:cs="微软雅黑"/>
          <w:spacing w:val="-3"/>
          <w:sz w:val="24"/>
          <w:szCs w:val="24"/>
          <w:highlight w:val="none"/>
          <w:lang w:val="en-US" w:eastAsia="zh-CN"/>
        </w:rPr>
        <w:t>8079、</w:t>
      </w:r>
      <w:r>
        <w:rPr>
          <w:rFonts w:hint="eastAsia" w:ascii="微软雅黑" w:hAnsi="微软雅黑" w:eastAsia="微软雅黑" w:cs="微软雅黑"/>
          <w:spacing w:val="-3"/>
          <w:sz w:val="24"/>
          <w:szCs w:val="24"/>
          <w:highlight w:val="none"/>
          <w:lang w:eastAsia="zh-CN"/>
        </w:rPr>
        <w:t>1100、1060</w:t>
      </w:r>
      <w:r>
        <w:rPr>
          <w:rFonts w:hint="eastAsia" w:ascii="微软雅黑" w:hAnsi="微软雅黑" w:eastAsia="微软雅黑" w:cs="微软雅黑"/>
          <w:spacing w:val="-3"/>
          <w:sz w:val="24"/>
          <w:szCs w:val="24"/>
          <w:highlight w:val="none"/>
          <w:lang w:val="en-US" w:eastAsia="zh-CN"/>
        </w:rPr>
        <w:t>等</w:t>
      </w:r>
      <w:r>
        <w:rPr>
          <w:rFonts w:hint="eastAsia" w:ascii="微软雅黑" w:hAnsi="微软雅黑" w:eastAsia="微软雅黑" w:cs="微软雅黑"/>
          <w:spacing w:val="-3"/>
          <w:sz w:val="24"/>
          <w:szCs w:val="24"/>
          <w:highlight w:val="none"/>
          <w:lang w:eastAsia="zh-CN"/>
        </w:rPr>
        <w:t>。</w:t>
      </w:r>
    </w:p>
    <w:p w14:paraId="0EA309DC">
      <w:pPr>
        <w:pStyle w:val="3"/>
        <w:keepNext w:val="0"/>
        <w:keepLines w:val="0"/>
        <w:pageBreakBefore w:val="0"/>
        <w:widowControl/>
        <w:kinsoku w:val="0"/>
        <w:wordWrap/>
        <w:overflowPunct/>
        <w:topLinePunct w:val="0"/>
        <w:autoSpaceDE w:val="0"/>
        <w:autoSpaceDN w:val="0"/>
        <w:bidi w:val="0"/>
        <w:adjustRightInd w:val="0"/>
        <w:snapToGrid w:val="0"/>
        <w:spacing w:line="264" w:lineRule="auto"/>
        <w:ind w:firstLine="468" w:firstLineChars="200"/>
        <w:jc w:val="both"/>
        <w:textAlignment w:val="baseline"/>
        <w:rPr>
          <w:rFonts w:hint="eastAsia" w:ascii="微软雅黑" w:hAnsi="微软雅黑" w:eastAsia="微软雅黑" w:cs="微软雅黑"/>
          <w:spacing w:val="-3"/>
          <w:sz w:val="24"/>
          <w:szCs w:val="24"/>
          <w:highlight w:val="none"/>
          <w:lang w:eastAsia="zh-CN"/>
        </w:rPr>
      </w:pPr>
      <w:r>
        <w:rPr>
          <w:rFonts w:hint="eastAsia" w:ascii="微软雅黑" w:hAnsi="微软雅黑" w:eastAsia="微软雅黑" w:cs="微软雅黑"/>
          <w:spacing w:val="-3"/>
          <w:sz w:val="24"/>
          <w:szCs w:val="24"/>
          <w:highlight w:val="none"/>
          <w:lang w:eastAsia="zh-CN"/>
        </w:rPr>
        <w:t>安徽美信</w:t>
      </w:r>
      <w:r>
        <w:rPr>
          <w:rFonts w:hint="eastAsia" w:ascii="微软雅黑" w:hAnsi="微软雅黑" w:eastAsia="微软雅黑" w:cs="微软雅黑"/>
          <w:spacing w:val="-3"/>
          <w:sz w:val="24"/>
          <w:szCs w:val="24"/>
          <w:highlight w:val="none"/>
          <w:lang w:val="en-US" w:eastAsia="zh-CN"/>
        </w:rPr>
        <w:t>铝业</w:t>
      </w:r>
      <w:r>
        <w:rPr>
          <w:rFonts w:hint="eastAsia" w:ascii="微软雅黑" w:hAnsi="微软雅黑" w:eastAsia="微软雅黑" w:cs="微软雅黑"/>
          <w:spacing w:val="-3"/>
          <w:sz w:val="24"/>
          <w:szCs w:val="24"/>
          <w:highlight w:val="none"/>
          <w:lang w:eastAsia="zh-CN"/>
        </w:rPr>
        <w:t>有限公司</w:t>
      </w:r>
      <w:r>
        <w:rPr>
          <w:rFonts w:hint="eastAsia" w:ascii="微软雅黑" w:hAnsi="微软雅黑" w:eastAsia="微软雅黑" w:cs="微软雅黑"/>
          <w:spacing w:val="-3"/>
          <w:sz w:val="24"/>
          <w:szCs w:val="24"/>
          <w:highlight w:val="none"/>
          <w:lang w:val="en-US" w:eastAsia="zh-CN"/>
        </w:rPr>
        <w:t>生产</w:t>
      </w:r>
      <w:r>
        <w:rPr>
          <w:rFonts w:hint="eastAsia" w:ascii="微软雅黑" w:hAnsi="微软雅黑" w:eastAsia="微软雅黑" w:cs="微软雅黑"/>
          <w:spacing w:val="-3"/>
          <w:sz w:val="24"/>
          <w:szCs w:val="24"/>
          <w:highlight w:val="none"/>
          <w:lang w:eastAsia="zh-CN"/>
        </w:rPr>
        <w:t>铝箔</w:t>
      </w:r>
      <w:r>
        <w:rPr>
          <w:rFonts w:hint="eastAsia" w:ascii="微软雅黑" w:hAnsi="微软雅黑" w:eastAsia="微软雅黑" w:cs="微软雅黑"/>
          <w:spacing w:val="-3"/>
          <w:sz w:val="24"/>
          <w:szCs w:val="24"/>
          <w:highlight w:val="none"/>
          <w:lang w:val="en-US" w:eastAsia="zh-CN"/>
        </w:rPr>
        <w:t>坯料</w:t>
      </w:r>
      <w:r>
        <w:rPr>
          <w:rFonts w:hint="eastAsia" w:ascii="微软雅黑" w:hAnsi="微软雅黑" w:eastAsia="微软雅黑" w:cs="微软雅黑"/>
          <w:spacing w:val="-3"/>
          <w:sz w:val="24"/>
          <w:szCs w:val="24"/>
          <w:highlight w:val="none"/>
          <w:lang w:eastAsia="zh-CN"/>
        </w:rPr>
        <w:t>供货厂家主要有</w:t>
      </w:r>
      <w:r>
        <w:rPr>
          <w:rFonts w:hint="eastAsia" w:ascii="微软雅黑" w:hAnsi="微软雅黑" w:eastAsia="微软雅黑" w:cs="微软雅黑"/>
          <w:spacing w:val="-3"/>
          <w:sz w:val="24"/>
          <w:szCs w:val="24"/>
          <w:highlight w:val="none"/>
          <w:lang w:val="en-US" w:eastAsia="zh-CN"/>
        </w:rPr>
        <w:t>江苏中基集团科技有限公司</w:t>
      </w:r>
      <w:r>
        <w:rPr>
          <w:rFonts w:hint="eastAsia" w:ascii="微软雅黑" w:hAnsi="微软雅黑" w:eastAsia="微软雅黑" w:cs="微软雅黑"/>
          <w:spacing w:val="-3"/>
          <w:sz w:val="24"/>
          <w:szCs w:val="24"/>
          <w:highlight w:val="none"/>
          <w:lang w:eastAsia="zh-CN"/>
        </w:rPr>
        <w:t>、</w:t>
      </w:r>
      <w:r>
        <w:rPr>
          <w:rFonts w:hint="eastAsia" w:ascii="微软雅黑" w:hAnsi="微软雅黑" w:eastAsia="微软雅黑" w:cs="微软雅黑"/>
          <w:spacing w:val="-3"/>
          <w:sz w:val="24"/>
          <w:szCs w:val="24"/>
          <w:highlight w:val="none"/>
          <w:lang w:val="en-US" w:eastAsia="zh-CN"/>
        </w:rPr>
        <w:t>安徽中基电池箔科技有限公司</w:t>
      </w:r>
      <w:r>
        <w:rPr>
          <w:rFonts w:hint="eastAsia" w:ascii="微软雅黑" w:hAnsi="微软雅黑" w:eastAsia="微软雅黑" w:cs="微软雅黑"/>
          <w:spacing w:val="-3"/>
          <w:sz w:val="24"/>
          <w:szCs w:val="24"/>
          <w:highlight w:val="none"/>
          <w:lang w:eastAsia="zh-CN"/>
        </w:rPr>
        <w:t>等客户。</w:t>
      </w:r>
    </w:p>
    <w:p w14:paraId="3B76DEA9">
      <w:pPr>
        <w:spacing w:before="82" w:line="216" w:lineRule="auto"/>
        <w:ind w:right="61" w:rightChars="29" w:firstLine="481"/>
        <w:jc w:val="both"/>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公司秉承</w:t>
      </w:r>
      <w:r>
        <w:rPr>
          <w:rFonts w:hint="eastAsia" w:ascii="微软雅黑" w:hAnsi="微软雅黑" w:eastAsia="微软雅黑" w:cs="微软雅黑"/>
          <w:sz w:val="24"/>
          <w:szCs w:val="24"/>
          <w:highlight w:val="none"/>
        </w:rPr>
        <w:t>“创新</w:t>
      </w:r>
      <w:r>
        <w:rPr>
          <w:rFonts w:hint="eastAsia" w:ascii="微软雅黑" w:hAnsi="微软雅黑" w:eastAsia="微软雅黑" w:cs="微软雅黑"/>
          <w:sz w:val="24"/>
          <w:szCs w:val="24"/>
          <w:highlight w:val="none"/>
          <w:lang w:val="en-US" w:eastAsia="zh-CN"/>
        </w:rPr>
        <w:t xml:space="preserve"> 、</w:t>
      </w:r>
      <w:r>
        <w:rPr>
          <w:rFonts w:hint="eastAsia" w:ascii="微软雅黑" w:hAnsi="微软雅黑" w:eastAsia="微软雅黑" w:cs="微软雅黑"/>
          <w:sz w:val="24"/>
          <w:szCs w:val="24"/>
          <w:highlight w:val="none"/>
        </w:rPr>
        <w:t>服务</w:t>
      </w:r>
      <w:r>
        <w:rPr>
          <w:rFonts w:hint="eastAsia" w:ascii="微软雅黑" w:hAnsi="微软雅黑" w:eastAsia="微软雅黑" w:cs="微软雅黑"/>
          <w:sz w:val="24"/>
          <w:szCs w:val="24"/>
          <w:highlight w:val="none"/>
          <w:lang w:val="en-US" w:eastAsia="zh-CN"/>
        </w:rPr>
        <w:t xml:space="preserve"> </w:t>
      </w:r>
      <w:r>
        <w:rPr>
          <w:rFonts w:hint="eastAsia" w:ascii="微软雅黑" w:hAnsi="微软雅黑" w:eastAsia="微软雅黑" w:cs="微软雅黑"/>
          <w:sz w:val="24"/>
          <w:szCs w:val="24"/>
          <w:highlight w:val="none"/>
        </w:rPr>
        <w:t>、双赢”</w:t>
      </w:r>
      <w:r>
        <w:rPr>
          <w:rFonts w:ascii="微软雅黑" w:hAnsi="微软雅黑" w:eastAsia="微软雅黑" w:cs="微软雅黑"/>
          <w:sz w:val="24"/>
          <w:szCs w:val="24"/>
          <w:highlight w:val="none"/>
        </w:rPr>
        <w:t>的经营理念，致力于广</w:t>
      </w:r>
      <w:r>
        <w:rPr>
          <w:rFonts w:ascii="微软雅黑" w:hAnsi="微软雅黑" w:eastAsia="微软雅黑" w:cs="微软雅黑"/>
          <w:spacing w:val="-1"/>
          <w:sz w:val="24"/>
          <w:szCs w:val="24"/>
          <w:highlight w:val="none"/>
        </w:rPr>
        <w:t>交天下朋</w:t>
      </w:r>
      <w:r>
        <w:rPr>
          <w:rFonts w:ascii="微软雅黑" w:hAnsi="微软雅黑" w:eastAsia="微软雅黑" w:cs="微软雅黑"/>
          <w:spacing w:val="-2"/>
          <w:sz w:val="24"/>
          <w:szCs w:val="24"/>
          <w:highlight w:val="none"/>
        </w:rPr>
        <w:t>友，热诚欢迎国内外用户、同行和供应商来厂交流合作。</w:t>
      </w:r>
    </w:p>
    <w:p w14:paraId="60E3BCDA">
      <w:pPr>
        <w:pStyle w:val="3"/>
        <w:keepNext w:val="0"/>
        <w:keepLines w:val="0"/>
        <w:pageBreakBefore w:val="0"/>
        <w:widowControl/>
        <w:kinsoku w:val="0"/>
        <w:wordWrap/>
        <w:overflowPunct/>
        <w:topLinePunct w:val="0"/>
        <w:autoSpaceDE w:val="0"/>
        <w:autoSpaceDN w:val="0"/>
        <w:bidi w:val="0"/>
        <w:adjustRightInd w:val="0"/>
        <w:snapToGrid w:val="0"/>
        <w:spacing w:line="264" w:lineRule="auto"/>
        <w:ind w:firstLine="468" w:firstLineChars="200"/>
        <w:textAlignment w:val="baseline"/>
        <w:rPr>
          <w:rFonts w:hint="eastAsia" w:ascii="微软雅黑" w:hAnsi="微软雅黑" w:eastAsia="微软雅黑" w:cs="微软雅黑"/>
          <w:spacing w:val="-3"/>
          <w:sz w:val="24"/>
          <w:szCs w:val="24"/>
          <w:highlight w:val="none"/>
          <w:lang w:eastAsia="zh-CN"/>
        </w:rPr>
      </w:pPr>
    </w:p>
    <w:p w14:paraId="679837C2">
      <w:pPr>
        <w:spacing w:before="67" w:line="198" w:lineRule="auto"/>
        <w:ind w:left="4"/>
        <w:rPr>
          <w:rFonts w:ascii="微软雅黑" w:hAnsi="微软雅黑" w:eastAsia="微软雅黑" w:cs="微软雅黑"/>
          <w:b/>
          <w:bCs/>
          <w:spacing w:val="8"/>
          <w:sz w:val="31"/>
          <w:szCs w:val="31"/>
          <w:highlight w:val="none"/>
          <w:u w:val="single" w:color="auto"/>
        </w:rPr>
      </w:pPr>
    </w:p>
    <w:p w14:paraId="6E083FCB">
      <w:pPr>
        <w:spacing w:before="67" w:line="198" w:lineRule="auto"/>
        <w:ind w:left="4"/>
        <w:rPr>
          <w:rFonts w:ascii="微软雅黑" w:hAnsi="微软雅黑" w:eastAsia="微软雅黑" w:cs="微软雅黑"/>
          <w:b/>
          <w:bCs/>
          <w:spacing w:val="8"/>
          <w:sz w:val="31"/>
          <w:szCs w:val="31"/>
          <w:highlight w:val="none"/>
          <w:u w:val="single" w:color="auto"/>
        </w:rPr>
      </w:pPr>
    </w:p>
    <w:p w14:paraId="59B657B1">
      <w:pPr>
        <w:spacing w:before="67" w:line="198" w:lineRule="auto"/>
        <w:ind w:left="4"/>
        <w:rPr>
          <w:rFonts w:ascii="微软雅黑" w:hAnsi="微软雅黑" w:eastAsia="微软雅黑" w:cs="微软雅黑"/>
          <w:b/>
          <w:bCs/>
          <w:spacing w:val="8"/>
          <w:sz w:val="31"/>
          <w:szCs w:val="31"/>
          <w:highlight w:val="none"/>
          <w:u w:val="single" w:color="auto"/>
        </w:rPr>
      </w:pPr>
    </w:p>
    <w:p w14:paraId="0C774064">
      <w:pPr>
        <w:spacing w:before="67" w:line="198" w:lineRule="auto"/>
        <w:ind w:left="4"/>
        <w:rPr>
          <w:rFonts w:ascii="微软雅黑" w:hAnsi="微软雅黑" w:eastAsia="微软雅黑" w:cs="微软雅黑"/>
          <w:b/>
          <w:bCs/>
          <w:spacing w:val="8"/>
          <w:sz w:val="31"/>
          <w:szCs w:val="31"/>
          <w:highlight w:val="none"/>
          <w:u w:val="single" w:color="auto"/>
        </w:rPr>
      </w:pPr>
    </w:p>
    <w:p w14:paraId="59FB5782">
      <w:pPr>
        <w:spacing w:before="67" w:line="198" w:lineRule="auto"/>
        <w:ind w:left="4"/>
        <w:rPr>
          <w:rFonts w:ascii="微软雅黑" w:hAnsi="微软雅黑" w:eastAsia="微软雅黑" w:cs="微软雅黑"/>
          <w:b/>
          <w:bCs/>
          <w:spacing w:val="8"/>
          <w:sz w:val="31"/>
          <w:szCs w:val="31"/>
          <w:highlight w:val="none"/>
          <w:u w:val="single" w:color="auto"/>
        </w:rPr>
      </w:pPr>
    </w:p>
    <w:p w14:paraId="6FB3F44D">
      <w:pPr>
        <w:spacing w:before="67" w:line="198" w:lineRule="auto"/>
        <w:ind w:left="4"/>
        <w:rPr>
          <w:rFonts w:ascii="微软雅黑" w:hAnsi="微软雅黑" w:eastAsia="微软雅黑" w:cs="微软雅黑"/>
          <w:b/>
          <w:bCs/>
          <w:spacing w:val="8"/>
          <w:sz w:val="31"/>
          <w:szCs w:val="31"/>
          <w:highlight w:val="none"/>
          <w:u w:val="single" w:color="auto"/>
        </w:rPr>
      </w:pPr>
    </w:p>
    <w:p w14:paraId="311FA43E">
      <w:pPr>
        <w:spacing w:before="67" w:line="198" w:lineRule="auto"/>
        <w:ind w:left="4"/>
        <w:rPr>
          <w:rFonts w:ascii="微软雅黑" w:hAnsi="微软雅黑" w:eastAsia="微软雅黑" w:cs="微软雅黑"/>
          <w:b/>
          <w:bCs/>
          <w:spacing w:val="8"/>
          <w:sz w:val="31"/>
          <w:szCs w:val="31"/>
          <w:highlight w:val="none"/>
          <w:u w:val="single" w:color="auto"/>
        </w:rPr>
      </w:pPr>
    </w:p>
    <w:p w14:paraId="00502A60">
      <w:pPr>
        <w:spacing w:before="67" w:line="198" w:lineRule="auto"/>
        <w:rPr>
          <w:rFonts w:ascii="微软雅黑" w:hAnsi="微软雅黑" w:eastAsia="微软雅黑" w:cs="微软雅黑"/>
          <w:b/>
          <w:bCs/>
          <w:spacing w:val="8"/>
          <w:sz w:val="31"/>
          <w:szCs w:val="31"/>
          <w:highlight w:val="none"/>
          <w:u w:val="single" w:color="auto"/>
        </w:rPr>
      </w:pPr>
    </w:p>
    <w:p w14:paraId="5EB4395E">
      <w:pPr>
        <w:spacing w:before="67" w:line="198" w:lineRule="auto"/>
        <w:rPr>
          <w:rFonts w:ascii="微软雅黑" w:hAnsi="微软雅黑" w:eastAsia="微软雅黑" w:cs="微软雅黑"/>
          <w:b/>
          <w:bCs/>
          <w:spacing w:val="8"/>
          <w:sz w:val="31"/>
          <w:szCs w:val="31"/>
          <w:highlight w:val="none"/>
          <w:u w:val="single" w:color="auto"/>
        </w:rPr>
      </w:pPr>
    </w:p>
    <w:p w14:paraId="3526B31A">
      <w:pPr>
        <w:spacing w:before="67" w:line="198" w:lineRule="auto"/>
        <w:rPr>
          <w:rFonts w:ascii="微软雅黑" w:hAnsi="微软雅黑" w:eastAsia="微软雅黑" w:cs="微软雅黑"/>
          <w:b/>
          <w:bCs/>
          <w:spacing w:val="8"/>
          <w:sz w:val="31"/>
          <w:szCs w:val="31"/>
          <w:highlight w:val="none"/>
          <w:u w:val="single" w:color="auto"/>
        </w:rPr>
      </w:pPr>
    </w:p>
    <w:p w14:paraId="06FE38AB">
      <w:pPr>
        <w:spacing w:before="67" w:line="198" w:lineRule="auto"/>
        <w:ind w:left="4"/>
        <w:rPr>
          <w:rFonts w:ascii="微软雅黑" w:hAnsi="微软雅黑" w:eastAsia="微软雅黑" w:cs="微软雅黑"/>
          <w:sz w:val="31"/>
          <w:szCs w:val="31"/>
          <w:highlight w:val="none"/>
        </w:rPr>
      </w:pPr>
      <w:r>
        <w:rPr>
          <w:rFonts w:ascii="微软雅黑" w:hAnsi="微软雅黑" w:eastAsia="微软雅黑" w:cs="微软雅黑"/>
          <w:b/>
          <w:bCs/>
          <w:spacing w:val="8"/>
          <w:sz w:val="31"/>
          <w:szCs w:val="31"/>
          <w:highlight w:val="none"/>
          <w:u w:val="single" w:color="auto"/>
        </w:rPr>
        <w:t>公司可持续发展管理</w:t>
      </w:r>
    </w:p>
    <w:p w14:paraId="3CF4DBDA">
      <w:pPr>
        <w:pStyle w:val="3"/>
        <w:spacing w:line="296" w:lineRule="auto"/>
        <w:rPr>
          <w:highlight w:val="none"/>
        </w:rPr>
      </w:pPr>
    </w:p>
    <w:p w14:paraId="7A80F81C">
      <w:pPr>
        <w:pStyle w:val="3"/>
        <w:spacing w:line="297" w:lineRule="auto"/>
        <w:rPr>
          <w:highlight w:val="none"/>
        </w:rPr>
      </w:pPr>
    </w:p>
    <w:p w14:paraId="358C022A">
      <w:pPr>
        <w:spacing w:before="103" w:line="193" w:lineRule="auto"/>
        <w:ind w:left="20"/>
        <w:outlineLvl w:val="0"/>
        <w:rPr>
          <w:rFonts w:ascii="微软雅黑" w:hAnsi="微软雅黑" w:eastAsia="微软雅黑" w:cs="微软雅黑"/>
          <w:sz w:val="24"/>
          <w:szCs w:val="24"/>
          <w:highlight w:val="none"/>
        </w:rPr>
      </w:pPr>
      <w:r>
        <w:rPr>
          <w:rFonts w:ascii="微软雅黑" w:hAnsi="微软雅黑" w:eastAsia="微软雅黑" w:cs="微软雅黑"/>
          <w:b/>
          <w:bCs/>
          <w:spacing w:val="-3"/>
          <w:sz w:val="24"/>
          <w:szCs w:val="24"/>
          <w:highlight w:val="none"/>
        </w:rPr>
        <w:t>1、可持续发展理念</w:t>
      </w:r>
    </w:p>
    <w:p w14:paraId="357C2622">
      <w:pPr>
        <w:spacing w:before="81" w:line="228" w:lineRule="auto"/>
        <w:ind w:right="120" w:firstLine="481"/>
        <w:jc w:val="both"/>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作为对社会和环境负责任的企业，</w:t>
      </w:r>
      <w:r>
        <w:rPr>
          <w:rFonts w:hint="eastAsia" w:ascii="微软雅黑" w:hAnsi="微软雅黑" w:eastAsia="微软雅黑" w:cs="微软雅黑"/>
          <w:spacing w:val="-3"/>
          <w:sz w:val="24"/>
          <w:szCs w:val="24"/>
          <w:highlight w:val="none"/>
          <w:lang w:eastAsia="zh-CN"/>
        </w:rPr>
        <w:t>安徽美信</w:t>
      </w:r>
      <w:r>
        <w:rPr>
          <w:rFonts w:ascii="微软雅黑" w:hAnsi="微软雅黑" w:eastAsia="微软雅黑" w:cs="微软雅黑"/>
          <w:spacing w:val="-3"/>
          <w:sz w:val="24"/>
          <w:szCs w:val="24"/>
          <w:highlight w:val="none"/>
        </w:rPr>
        <w:t>致力于通过完善管理体系，确保产品在各个环</w:t>
      </w:r>
      <w:r>
        <w:rPr>
          <w:rFonts w:ascii="微软雅黑" w:hAnsi="微软雅黑" w:eastAsia="微软雅黑" w:cs="微软雅黑"/>
          <w:spacing w:val="1"/>
          <w:sz w:val="24"/>
          <w:szCs w:val="24"/>
          <w:highlight w:val="none"/>
        </w:rPr>
        <w:t>节均实现可持续发展，构建清洁、和谐、可持</w:t>
      </w:r>
      <w:r>
        <w:rPr>
          <w:rFonts w:ascii="微软雅黑" w:hAnsi="微软雅黑" w:eastAsia="微软雅黑" w:cs="微软雅黑"/>
          <w:sz w:val="24"/>
          <w:szCs w:val="24"/>
          <w:highlight w:val="none"/>
        </w:rPr>
        <w:t>续的未来世界。我们将在现有基础上，紧贴未来</w:t>
      </w:r>
      <w:r>
        <w:rPr>
          <w:rFonts w:ascii="微软雅黑" w:hAnsi="微软雅黑" w:eastAsia="微软雅黑" w:cs="微软雅黑"/>
          <w:spacing w:val="-3"/>
          <w:sz w:val="24"/>
          <w:szCs w:val="24"/>
          <w:highlight w:val="none"/>
        </w:rPr>
        <w:t>社会发展的方向与趋势，订立更全面且长远的可持续发展蓝图，推动企业健康稳步发展，为社</w:t>
      </w:r>
      <w:r>
        <w:rPr>
          <w:rFonts w:ascii="微软雅黑" w:hAnsi="微软雅黑" w:eastAsia="微软雅黑" w:cs="微软雅黑"/>
          <w:spacing w:val="-4"/>
          <w:sz w:val="24"/>
          <w:szCs w:val="24"/>
          <w:highlight w:val="none"/>
        </w:rPr>
        <w:t>会繁荣进步做出较大贡献。</w:t>
      </w:r>
    </w:p>
    <w:p w14:paraId="1E045A3A">
      <w:pPr>
        <w:pStyle w:val="3"/>
        <w:spacing w:line="385" w:lineRule="auto"/>
        <w:rPr>
          <w:highlight w:val="none"/>
        </w:rPr>
      </w:pPr>
    </w:p>
    <w:p w14:paraId="36525EB4">
      <w:pPr>
        <w:spacing w:before="103" w:line="194" w:lineRule="auto"/>
        <w:ind w:left="11"/>
        <w:outlineLvl w:val="0"/>
        <w:rPr>
          <w:rFonts w:ascii="微软雅黑" w:hAnsi="微软雅黑" w:eastAsia="微软雅黑" w:cs="微软雅黑"/>
          <w:sz w:val="24"/>
          <w:szCs w:val="24"/>
          <w:highlight w:val="none"/>
        </w:rPr>
      </w:pPr>
      <w:bookmarkStart w:id="5" w:name="bookmark6"/>
      <w:bookmarkEnd w:id="5"/>
      <w:r>
        <w:rPr>
          <w:rFonts w:ascii="微软雅黑" w:hAnsi="微软雅黑" w:eastAsia="微软雅黑" w:cs="微软雅黑"/>
          <w:b/>
          <w:bCs/>
          <w:spacing w:val="-3"/>
          <w:sz w:val="24"/>
          <w:szCs w:val="24"/>
          <w:highlight w:val="none"/>
        </w:rPr>
        <w:t>2、技术创新</w:t>
      </w:r>
    </w:p>
    <w:p w14:paraId="007E86A9">
      <w:pPr>
        <w:spacing w:before="78" w:line="225" w:lineRule="auto"/>
        <w:ind w:left="1" w:right="119" w:firstLine="480"/>
        <w:jc w:val="both"/>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创新是引领发展的第一动力。联合国2030可持续发展议程提出推动创新，促进资源和能源的高效利用。中国倡导建立以企业为主体、市场为导向、产学研深度融合的技术创新体系，促进科技成果转化，并培养造就一大批具有国际水平的科技领军人</w:t>
      </w:r>
      <w:r>
        <w:rPr>
          <w:rFonts w:ascii="微软雅黑" w:hAnsi="微软雅黑" w:eastAsia="微软雅黑" w:cs="微软雅黑"/>
          <w:spacing w:val="-2"/>
          <w:sz w:val="24"/>
          <w:szCs w:val="24"/>
          <w:highlight w:val="none"/>
        </w:rPr>
        <w:t>才和高水平创新团队。</w:t>
      </w:r>
    </w:p>
    <w:p w14:paraId="65C8D248">
      <w:pPr>
        <w:spacing w:before="80" w:line="224" w:lineRule="auto"/>
        <w:ind w:left="5" w:firstLine="476"/>
        <w:jc w:val="both"/>
        <w:rPr>
          <w:rFonts w:ascii="微软雅黑" w:hAnsi="微软雅黑" w:eastAsia="微软雅黑" w:cs="微软雅黑"/>
          <w:spacing w:val="-3"/>
          <w:sz w:val="24"/>
          <w:szCs w:val="24"/>
          <w:highlight w:val="none"/>
        </w:rPr>
      </w:pPr>
      <w:r>
        <w:rPr>
          <w:rFonts w:ascii="微软雅黑" w:hAnsi="微软雅黑" w:eastAsia="微软雅黑" w:cs="微软雅黑"/>
          <w:spacing w:val="-7"/>
          <w:sz w:val="24"/>
          <w:szCs w:val="24"/>
          <w:highlight w:val="none"/>
        </w:rPr>
        <w:t>公司始终坚持每年不少于销售收入5%的研发投入，在产品、技术、经营、管</w:t>
      </w:r>
      <w:r>
        <w:rPr>
          <w:rFonts w:ascii="微软雅黑" w:hAnsi="微软雅黑" w:eastAsia="微软雅黑" w:cs="微软雅黑"/>
          <w:spacing w:val="-8"/>
          <w:sz w:val="24"/>
          <w:szCs w:val="24"/>
          <w:highlight w:val="none"/>
        </w:rPr>
        <w:t>理、服务等方面持续创新，多年来以“诚信、创新、高效”为宗旨，以“建立完整高效铝板带绿色循环产业”</w:t>
      </w:r>
      <w:r>
        <w:rPr>
          <w:rFonts w:ascii="微软雅黑" w:hAnsi="微软雅黑" w:eastAsia="微软雅黑" w:cs="微软雅黑"/>
          <w:spacing w:val="-3"/>
          <w:sz w:val="24"/>
          <w:szCs w:val="24"/>
          <w:highlight w:val="none"/>
        </w:rPr>
        <w:t>为研发方向，持续提升企业创新能力。</w:t>
      </w:r>
    </w:p>
    <w:p w14:paraId="2A1FDDAE">
      <w:pPr>
        <w:spacing w:before="83" w:line="232" w:lineRule="auto"/>
        <w:ind w:left="1" w:right="0" w:rightChars="0" w:firstLine="480"/>
        <w:jc w:val="both"/>
        <w:rPr>
          <w:rFonts w:ascii="微软雅黑" w:hAnsi="微软雅黑" w:eastAsia="微软雅黑" w:cs="微软雅黑"/>
          <w:color w:val="auto"/>
          <w:spacing w:val="-3"/>
          <w:sz w:val="24"/>
          <w:szCs w:val="24"/>
          <w:highlight w:val="none"/>
        </w:rPr>
      </w:pPr>
      <w:r>
        <w:rPr>
          <w:rFonts w:hint="eastAsia" w:ascii="微软雅黑" w:hAnsi="微软雅黑" w:eastAsia="微软雅黑" w:cs="微软雅黑"/>
          <w:spacing w:val="-3"/>
          <w:sz w:val="24"/>
          <w:szCs w:val="24"/>
          <w:highlight w:val="none"/>
          <w:lang w:val="en-US" w:eastAsia="zh-CN"/>
        </w:rPr>
        <w:t>产品成材率提升措施如下：</w:t>
      </w:r>
      <w:r>
        <w:rPr>
          <w:rFonts w:hint="eastAsia" w:ascii="微软雅黑" w:hAnsi="微软雅黑" w:eastAsia="微软雅黑" w:cs="微软雅黑"/>
          <w:color w:val="auto"/>
          <w:spacing w:val="-3"/>
          <w:sz w:val="24"/>
          <w:szCs w:val="24"/>
          <w:highlight w:val="none"/>
          <w:lang w:val="en-US" w:eastAsia="zh-CN"/>
        </w:rPr>
        <w:t>1、铸轧生产时严格控制料卷的宽度要求，不能超过宽度控制标准并严格控制边部裂边情况，计划在排产时，尽量避免出现超宽切边现象；2、操作手加强平时的点检和监控作业，及时发现汇报问题，预防设备异常停机；3、规范轧机副操上卷穿带作业，避免开卷时造成的料卷外圈松层；4、根据来料裂边情况，及时反馈上级和工艺更改切边宽度，同时降低切边速度和看好边，一旦发现异常及时降速处理，防止废边压穿料卷；5、进行作业指导书的培训，推进标准化作业，杜绝低级错误、料卷磕碰伤现象。</w:t>
      </w:r>
    </w:p>
    <w:p w14:paraId="5DF843E2">
      <w:pPr>
        <w:spacing w:before="83" w:line="232" w:lineRule="auto"/>
        <w:ind w:left="1" w:right="0" w:rightChars="0" w:firstLine="480"/>
        <w:jc w:val="both"/>
        <w:rPr>
          <w:rFonts w:ascii="微软雅黑" w:hAnsi="微软雅黑" w:eastAsia="微软雅黑" w:cs="微软雅黑"/>
          <w:spacing w:val="-3"/>
          <w:sz w:val="24"/>
          <w:szCs w:val="24"/>
          <w:highlight w:val="none"/>
        </w:rPr>
      </w:pPr>
      <w:r>
        <w:rPr>
          <w:rFonts w:hint="eastAsia" w:ascii="微软雅黑" w:hAnsi="微软雅黑" w:eastAsia="微软雅黑" w:cs="微软雅黑"/>
          <w:spacing w:val="-4"/>
          <w:sz w:val="24"/>
          <w:szCs w:val="24"/>
          <w:highlight w:val="none"/>
          <w:lang w:eastAsia="zh-CN"/>
        </w:rPr>
        <w:t>安徽美信</w:t>
      </w:r>
      <w:r>
        <w:rPr>
          <w:rFonts w:ascii="微软雅黑" w:hAnsi="微软雅黑" w:eastAsia="微软雅黑" w:cs="微软雅黑"/>
          <w:spacing w:val="-4"/>
          <w:sz w:val="24"/>
          <w:szCs w:val="24"/>
          <w:highlight w:val="none"/>
        </w:rPr>
        <w:t>秉承“绿水青山就是金山银山”这一发展理念，积极探索绿</w:t>
      </w:r>
      <w:r>
        <w:rPr>
          <w:rFonts w:ascii="微软雅黑" w:hAnsi="微软雅黑" w:eastAsia="微软雅黑" w:cs="微软雅黑"/>
          <w:spacing w:val="-5"/>
          <w:sz w:val="24"/>
          <w:szCs w:val="24"/>
          <w:highlight w:val="none"/>
        </w:rPr>
        <w:t>色循环发展新模式。</w:t>
      </w:r>
      <w:r>
        <w:rPr>
          <w:rFonts w:ascii="微软雅黑" w:hAnsi="微软雅黑" w:eastAsia="微软雅黑" w:cs="微软雅黑"/>
          <w:spacing w:val="-6"/>
          <w:sz w:val="24"/>
          <w:szCs w:val="24"/>
          <w:highlight w:val="none"/>
        </w:rPr>
        <w:t>围绕制造业资源利用效率和清洁生产水平提升开展工作，持</w:t>
      </w:r>
      <w:r>
        <w:rPr>
          <w:rFonts w:ascii="微软雅黑" w:hAnsi="微软雅黑" w:eastAsia="微软雅黑" w:cs="微软雅黑"/>
          <w:spacing w:val="-7"/>
          <w:sz w:val="24"/>
          <w:szCs w:val="24"/>
          <w:highlight w:val="none"/>
        </w:rPr>
        <w:t>续降低资源消耗、减少污染物排放、</w:t>
      </w:r>
      <w:r>
        <w:rPr>
          <w:rFonts w:ascii="微软雅黑" w:hAnsi="微软雅黑" w:eastAsia="微软雅黑" w:cs="微软雅黑"/>
          <w:spacing w:val="-3"/>
          <w:sz w:val="24"/>
          <w:szCs w:val="24"/>
          <w:highlight w:val="none"/>
        </w:rPr>
        <w:t>提高资源产出效率。近年来集团走绿色可持续发展之路，在打造绿色产业和产品的过程中，及</w:t>
      </w:r>
      <w:r>
        <w:rPr>
          <w:rFonts w:ascii="微软雅黑" w:hAnsi="微软雅黑" w:eastAsia="微软雅黑" w:cs="微软雅黑"/>
          <w:spacing w:val="-4"/>
          <w:sz w:val="24"/>
          <w:szCs w:val="24"/>
          <w:highlight w:val="none"/>
        </w:rPr>
        <w:t>时总结和推广经验，把绿色发展融入公司生产的全过程。从体系构建、工厂运营、技术研发、</w:t>
      </w:r>
      <w:r>
        <w:rPr>
          <w:rFonts w:ascii="微软雅黑" w:hAnsi="微软雅黑" w:eastAsia="微软雅黑" w:cs="微软雅黑"/>
          <w:sz w:val="24"/>
          <w:szCs w:val="24"/>
          <w:highlight w:val="none"/>
        </w:rPr>
        <w:t>产品设计等方面践行绿色制造，打造绿色工厂，实现经济效益、社会效益和生态效益共赢，为</w:t>
      </w:r>
      <w:r>
        <w:rPr>
          <w:rFonts w:ascii="微软雅黑" w:hAnsi="微软雅黑" w:eastAsia="微软雅黑" w:cs="微软雅黑"/>
          <w:spacing w:val="-3"/>
          <w:sz w:val="24"/>
          <w:szCs w:val="24"/>
          <w:highlight w:val="none"/>
        </w:rPr>
        <w:t>工业绿色发展探索新经验、作出新示范。</w:t>
      </w:r>
    </w:p>
    <w:p w14:paraId="68C1487E">
      <w:pPr>
        <w:pStyle w:val="3"/>
        <w:spacing w:line="385" w:lineRule="auto"/>
        <w:rPr>
          <w:highlight w:val="none"/>
        </w:rPr>
      </w:pPr>
    </w:p>
    <w:p w14:paraId="26584357">
      <w:pPr>
        <w:spacing w:before="103" w:line="194" w:lineRule="auto"/>
        <w:ind w:left="17"/>
        <w:outlineLvl w:val="0"/>
        <w:rPr>
          <w:rFonts w:ascii="微软雅黑" w:hAnsi="微软雅黑" w:eastAsia="微软雅黑" w:cs="微软雅黑"/>
          <w:sz w:val="24"/>
          <w:szCs w:val="24"/>
          <w:highlight w:val="none"/>
        </w:rPr>
      </w:pPr>
      <w:bookmarkStart w:id="6" w:name="bookmark7"/>
      <w:bookmarkEnd w:id="6"/>
      <w:r>
        <w:rPr>
          <w:rFonts w:ascii="微软雅黑" w:hAnsi="微软雅黑" w:eastAsia="微软雅黑" w:cs="微软雅黑"/>
          <w:b/>
          <w:bCs/>
          <w:spacing w:val="-3"/>
          <w:sz w:val="24"/>
          <w:szCs w:val="24"/>
          <w:highlight w:val="none"/>
        </w:rPr>
        <w:t>3、质量第一</w:t>
      </w:r>
    </w:p>
    <w:p w14:paraId="3934ED94">
      <w:pPr>
        <w:spacing w:before="81" w:line="216" w:lineRule="auto"/>
        <w:ind w:right="99" w:rightChars="0" w:firstLine="481"/>
        <w:jc w:val="both"/>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我们将产品质量、服务质量视为企业的生命，以客户为中心是我们文化的一</w:t>
      </w:r>
      <w:r>
        <w:rPr>
          <w:rFonts w:ascii="微软雅黑" w:hAnsi="微软雅黑" w:eastAsia="微软雅黑" w:cs="微软雅黑"/>
          <w:spacing w:val="-1"/>
          <w:sz w:val="24"/>
          <w:szCs w:val="24"/>
          <w:highlight w:val="none"/>
        </w:rPr>
        <w:t>部分，让客户</w:t>
      </w:r>
      <w:r>
        <w:rPr>
          <w:rFonts w:ascii="微软雅黑" w:hAnsi="微软雅黑" w:eastAsia="微软雅黑" w:cs="微软雅黑"/>
          <w:spacing w:val="-3"/>
          <w:sz w:val="24"/>
          <w:szCs w:val="24"/>
          <w:highlight w:val="none"/>
        </w:rPr>
        <w:t>满意是每一位</w:t>
      </w:r>
      <w:r>
        <w:rPr>
          <w:rFonts w:hint="eastAsia" w:ascii="微软雅黑" w:hAnsi="微软雅黑" w:eastAsia="微软雅黑" w:cs="微软雅黑"/>
          <w:spacing w:val="-3"/>
          <w:sz w:val="24"/>
          <w:szCs w:val="24"/>
          <w:highlight w:val="none"/>
          <w:lang w:eastAsia="zh-CN"/>
        </w:rPr>
        <w:t>安徽美信</w:t>
      </w:r>
      <w:r>
        <w:rPr>
          <w:rFonts w:ascii="微软雅黑" w:hAnsi="微软雅黑" w:eastAsia="微软雅黑" w:cs="微软雅黑"/>
          <w:spacing w:val="-3"/>
          <w:sz w:val="24"/>
          <w:szCs w:val="24"/>
          <w:highlight w:val="none"/>
        </w:rPr>
        <w:t>人的心愿。</w:t>
      </w:r>
    </w:p>
    <w:p w14:paraId="55931DC9">
      <w:pPr>
        <w:spacing w:before="81" w:line="216" w:lineRule="auto"/>
        <w:ind w:right="99" w:rightChars="0" w:firstLine="481"/>
        <w:jc w:val="both"/>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我们严格遵循质量管理体系要求，落实质量责任制，建立产品五个标准(结果、过程、检验、检查、培训)，优化工艺流程，严格质量检测，不断提高生产的质量控制能力、效率与稳定性，使全球客户都能享受到高品质的</w:t>
      </w:r>
      <w:r>
        <w:rPr>
          <w:rFonts w:hint="eastAsia" w:ascii="微软雅黑" w:hAnsi="微软雅黑" w:eastAsia="微软雅黑" w:cs="微软雅黑"/>
          <w:sz w:val="24"/>
          <w:szCs w:val="24"/>
          <w:highlight w:val="none"/>
          <w:lang w:val="en-US" w:eastAsia="zh-CN"/>
        </w:rPr>
        <w:t>美信</w:t>
      </w:r>
      <w:r>
        <w:rPr>
          <w:rFonts w:ascii="微软雅黑" w:hAnsi="微软雅黑" w:eastAsia="微软雅黑" w:cs="微软雅黑"/>
          <w:sz w:val="24"/>
          <w:szCs w:val="24"/>
          <w:highlight w:val="none"/>
        </w:rPr>
        <w:t>产品。</w:t>
      </w:r>
    </w:p>
    <w:p w14:paraId="6522EB10">
      <w:pPr>
        <w:spacing w:before="82" w:line="224" w:lineRule="auto"/>
        <w:ind w:right="0" w:rightChars="0" w:firstLine="487"/>
        <w:jc w:val="both"/>
        <w:rPr>
          <w:rFonts w:ascii="微软雅黑" w:hAnsi="微软雅黑" w:eastAsia="微软雅黑" w:cs="微软雅黑"/>
          <w:sz w:val="24"/>
          <w:szCs w:val="24"/>
          <w:highlight w:val="none"/>
        </w:rPr>
      </w:pPr>
      <w:r>
        <w:rPr>
          <w:rFonts w:ascii="微软雅黑" w:hAnsi="微软雅黑" w:eastAsia="微软雅黑" w:cs="微软雅黑"/>
          <w:spacing w:val="-5"/>
          <w:sz w:val="24"/>
          <w:szCs w:val="24"/>
          <w:highlight w:val="none"/>
        </w:rPr>
        <w:t>为了建立员工的质量意识和提升生产质量成效，</w:t>
      </w:r>
      <w:r>
        <w:rPr>
          <w:rFonts w:ascii="微软雅黑" w:hAnsi="微软雅黑" w:eastAsia="微软雅黑" w:cs="微软雅黑"/>
          <w:spacing w:val="-6"/>
          <w:sz w:val="24"/>
          <w:szCs w:val="24"/>
          <w:highlight w:val="none"/>
        </w:rPr>
        <w:t>鼓励从管理层到一线员工都参与质量检查，</w:t>
      </w:r>
      <w:r>
        <w:rPr>
          <w:rFonts w:ascii="微软雅黑" w:hAnsi="微软雅黑" w:eastAsia="微软雅黑" w:cs="微软雅黑"/>
          <w:spacing w:val="-3"/>
          <w:sz w:val="24"/>
          <w:szCs w:val="24"/>
          <w:highlight w:val="none"/>
        </w:rPr>
        <w:t>激励员工自主改善。定期组织质量文化活动，树立质量改善典型，提倡全方位、系统的提高各</w:t>
      </w:r>
      <w:r>
        <w:rPr>
          <w:rFonts w:ascii="微软雅黑" w:hAnsi="微软雅黑" w:eastAsia="微软雅黑" w:cs="微软雅黑"/>
          <w:spacing w:val="-5"/>
          <w:sz w:val="24"/>
          <w:szCs w:val="24"/>
          <w:highlight w:val="none"/>
        </w:rPr>
        <w:t>项工作的质量标准。</w:t>
      </w:r>
    </w:p>
    <w:p w14:paraId="15B6F8D3">
      <w:pPr>
        <w:spacing w:before="82" w:line="224" w:lineRule="auto"/>
        <w:ind w:left="3" w:right="55" w:rightChars="0" w:firstLine="495"/>
        <w:jc w:val="both"/>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同时，关注客户需求，持续推进质量改进，明确质量管理架构、岗位职责与</w:t>
      </w:r>
      <w:r>
        <w:rPr>
          <w:rFonts w:ascii="微软雅黑" w:hAnsi="微软雅黑" w:eastAsia="微软雅黑" w:cs="微软雅黑"/>
          <w:spacing w:val="-2"/>
          <w:sz w:val="24"/>
          <w:szCs w:val="24"/>
          <w:highlight w:val="none"/>
        </w:rPr>
        <w:t>KPI指标，建</w:t>
      </w:r>
      <w:r>
        <w:rPr>
          <w:rFonts w:ascii="微软雅黑" w:hAnsi="微软雅黑" w:eastAsia="微软雅黑" w:cs="微软雅黑"/>
          <w:spacing w:val="1"/>
          <w:sz w:val="24"/>
          <w:szCs w:val="24"/>
          <w:highlight w:val="none"/>
        </w:rPr>
        <w:t>立质量问题快反机制，安排专人研究客户需求，持</w:t>
      </w:r>
      <w:r>
        <w:rPr>
          <w:rFonts w:ascii="微软雅黑" w:hAnsi="微软雅黑" w:eastAsia="微软雅黑" w:cs="微软雅黑"/>
          <w:sz w:val="24"/>
          <w:szCs w:val="24"/>
          <w:highlight w:val="none"/>
        </w:rPr>
        <w:t>续提升客户满意度。我们不仅自身遵循</w:t>
      </w:r>
      <w:r>
        <w:rPr>
          <w:rFonts w:hint="eastAsia" w:ascii="微软雅黑" w:hAnsi="微软雅黑" w:eastAsia="微软雅黑" w:cs="微软雅黑"/>
          <w:sz w:val="24"/>
          <w:szCs w:val="24"/>
          <w:highlight w:val="none"/>
          <w:lang w:val="en-US" w:eastAsia="zh-CN"/>
        </w:rPr>
        <w:t>安徽美信</w:t>
      </w:r>
      <w:r>
        <w:rPr>
          <w:rFonts w:ascii="微软雅黑" w:hAnsi="微软雅黑" w:eastAsia="微软雅黑" w:cs="微软雅黑"/>
          <w:spacing w:val="-1"/>
          <w:sz w:val="24"/>
          <w:szCs w:val="24"/>
          <w:highlight w:val="none"/>
        </w:rPr>
        <w:t>质量管理系统，同时努力帮助并优选供应商，建立长期合作关系，</w:t>
      </w:r>
      <w:r>
        <w:rPr>
          <w:rFonts w:ascii="微软雅黑" w:hAnsi="微软雅黑" w:eastAsia="微软雅黑" w:cs="微软雅黑"/>
          <w:spacing w:val="-2"/>
          <w:sz w:val="24"/>
          <w:szCs w:val="24"/>
          <w:highlight w:val="none"/>
        </w:rPr>
        <w:t>对采购物料质量负责。</w:t>
      </w:r>
    </w:p>
    <w:p w14:paraId="173FA0CE">
      <w:pPr>
        <w:spacing w:line="224" w:lineRule="auto"/>
        <w:rPr>
          <w:rFonts w:ascii="微软雅黑" w:hAnsi="微软雅黑" w:eastAsia="微软雅黑" w:cs="微软雅黑"/>
          <w:sz w:val="24"/>
          <w:szCs w:val="24"/>
          <w:highlight w:val="none"/>
        </w:rPr>
        <w:sectPr>
          <w:headerReference r:id="rId10" w:type="default"/>
          <w:footerReference r:id="rId11" w:type="default"/>
          <w:pgSz w:w="11907" w:h="16839"/>
          <w:pgMar w:top="1208" w:right="902" w:bottom="1251" w:left="1021" w:header="0" w:footer="1047" w:gutter="0"/>
          <w:pgNumType w:fmt="decimal"/>
          <w:cols w:space="720" w:num="1"/>
        </w:sectPr>
      </w:pPr>
    </w:p>
    <w:p w14:paraId="189D3BED">
      <w:pPr>
        <w:spacing w:before="50" w:line="194" w:lineRule="auto"/>
        <w:outlineLvl w:val="0"/>
        <w:rPr>
          <w:rFonts w:ascii="微软雅黑" w:hAnsi="微软雅黑" w:eastAsia="微软雅黑" w:cs="微软雅黑"/>
          <w:sz w:val="24"/>
          <w:szCs w:val="24"/>
          <w:highlight w:val="none"/>
        </w:rPr>
      </w:pPr>
      <w:bookmarkStart w:id="7" w:name="bookmark8"/>
      <w:bookmarkEnd w:id="7"/>
      <w:r>
        <w:rPr>
          <w:rFonts w:ascii="微软雅黑" w:hAnsi="微软雅黑" w:eastAsia="微软雅黑" w:cs="微软雅黑"/>
          <w:b/>
          <w:bCs/>
          <w:spacing w:val="-1"/>
          <w:sz w:val="24"/>
          <w:szCs w:val="24"/>
          <w:highlight w:val="none"/>
        </w:rPr>
        <w:t>4、安环优先</w:t>
      </w:r>
    </w:p>
    <w:p w14:paraId="2ACB64DB">
      <w:pPr>
        <w:spacing w:before="82" w:line="216" w:lineRule="auto"/>
        <w:ind w:right="80" w:firstLine="480"/>
        <w:jc w:val="both"/>
        <w:rPr>
          <w:rFonts w:ascii="微软雅黑" w:hAnsi="微软雅黑" w:eastAsia="微软雅黑" w:cs="微软雅黑"/>
          <w:sz w:val="24"/>
          <w:szCs w:val="24"/>
          <w:highlight w:val="none"/>
        </w:rPr>
      </w:pPr>
      <w:r>
        <w:rPr>
          <w:rFonts w:hint="eastAsia" w:ascii="微软雅黑" w:hAnsi="微软雅黑" w:eastAsia="微软雅黑" w:cs="微软雅黑"/>
          <w:spacing w:val="-6"/>
          <w:sz w:val="24"/>
          <w:szCs w:val="24"/>
          <w:highlight w:val="none"/>
          <w:lang w:eastAsia="zh-CN"/>
        </w:rPr>
        <w:t>安徽美信</w:t>
      </w:r>
      <w:r>
        <w:rPr>
          <w:rFonts w:ascii="微软雅黑" w:hAnsi="微软雅黑" w:eastAsia="微软雅黑" w:cs="微软雅黑"/>
          <w:spacing w:val="-6"/>
          <w:sz w:val="24"/>
          <w:szCs w:val="24"/>
          <w:highlight w:val="none"/>
        </w:rPr>
        <w:t>的安全愿景是“零事故、零伤害”，我们相信所有的事故和伤害都可以预防。为实</w:t>
      </w:r>
      <w:r>
        <w:rPr>
          <w:rFonts w:ascii="微软雅黑" w:hAnsi="微软雅黑" w:eastAsia="微软雅黑" w:cs="微软雅黑"/>
          <w:spacing w:val="-2"/>
          <w:sz w:val="24"/>
          <w:szCs w:val="24"/>
          <w:highlight w:val="none"/>
        </w:rPr>
        <w:t>现这个愿景，我们将安全承诺深入贯彻到企业管理、生产全过程。</w:t>
      </w:r>
    </w:p>
    <w:p w14:paraId="79B3053E">
      <w:pPr>
        <w:spacing w:before="77" w:line="225" w:lineRule="auto"/>
        <w:ind w:firstLine="481"/>
        <w:jc w:val="both"/>
        <w:rPr>
          <w:rFonts w:ascii="微软雅黑" w:hAnsi="微软雅黑" w:eastAsia="微软雅黑" w:cs="微软雅黑"/>
          <w:sz w:val="24"/>
          <w:szCs w:val="24"/>
          <w:highlight w:val="none"/>
        </w:rPr>
      </w:pPr>
      <w:r>
        <w:rPr>
          <w:rFonts w:hint="eastAsia" w:ascii="微软雅黑" w:hAnsi="微软雅黑" w:eastAsia="微软雅黑" w:cs="微软雅黑"/>
          <w:spacing w:val="-5"/>
          <w:sz w:val="24"/>
          <w:szCs w:val="24"/>
          <w:highlight w:val="none"/>
          <w:lang w:eastAsia="zh-CN"/>
        </w:rPr>
        <w:t>安徽美信</w:t>
      </w:r>
      <w:r>
        <w:rPr>
          <w:rFonts w:ascii="微软雅黑" w:hAnsi="微软雅黑" w:eastAsia="微软雅黑" w:cs="微软雅黑"/>
          <w:spacing w:val="-5"/>
          <w:sz w:val="24"/>
          <w:szCs w:val="24"/>
          <w:highlight w:val="none"/>
        </w:rPr>
        <w:t>自觉遵守国家及相关部门的各项法律法规，完善并实</w:t>
      </w:r>
      <w:r>
        <w:rPr>
          <w:rFonts w:ascii="微软雅黑" w:hAnsi="微软雅黑" w:eastAsia="微软雅黑" w:cs="微软雅黑"/>
          <w:spacing w:val="-6"/>
          <w:sz w:val="24"/>
          <w:szCs w:val="24"/>
          <w:highlight w:val="none"/>
        </w:rPr>
        <w:t>施企业安环管理制度与规定。建立了完善的安全管理体系，成立安环部门，划分安全责任区域，层层落实安环责任制，定期</w:t>
      </w:r>
      <w:r>
        <w:rPr>
          <w:rFonts w:ascii="微软雅黑" w:hAnsi="微软雅黑" w:eastAsia="微软雅黑" w:cs="微软雅黑"/>
          <w:spacing w:val="-2"/>
          <w:sz w:val="24"/>
          <w:szCs w:val="24"/>
          <w:highlight w:val="none"/>
        </w:rPr>
        <w:t>进行危险源辨识，制定严格的防范措施并严格执</w:t>
      </w:r>
      <w:r>
        <w:rPr>
          <w:rFonts w:ascii="微软雅黑" w:hAnsi="微软雅黑" w:eastAsia="微软雅黑" w:cs="微软雅黑"/>
          <w:spacing w:val="-3"/>
          <w:sz w:val="24"/>
          <w:szCs w:val="24"/>
          <w:highlight w:val="none"/>
        </w:rPr>
        <w:t>行。</w:t>
      </w:r>
    </w:p>
    <w:p w14:paraId="467BF002">
      <w:pPr>
        <w:spacing w:before="78" w:line="217" w:lineRule="auto"/>
        <w:ind w:left="1" w:right="77" w:rightChars="0" w:firstLine="480"/>
        <w:jc w:val="both"/>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开展安全巡查，及时发现和纠正不安全行为。加强设备状态检修和技术监督，做好设备状</w:t>
      </w:r>
      <w:r>
        <w:rPr>
          <w:rFonts w:ascii="微软雅黑" w:hAnsi="微软雅黑" w:eastAsia="微软雅黑" w:cs="微软雅黑"/>
          <w:spacing w:val="-1"/>
          <w:sz w:val="24"/>
          <w:szCs w:val="24"/>
          <w:highlight w:val="none"/>
        </w:rPr>
        <w:t>态分析和点检工作。重视安全、环保设备设施的投入，制定了事</w:t>
      </w:r>
      <w:r>
        <w:rPr>
          <w:rFonts w:ascii="微软雅黑" w:hAnsi="微软雅黑" w:eastAsia="微软雅黑" w:cs="微软雅黑"/>
          <w:spacing w:val="-2"/>
          <w:sz w:val="24"/>
          <w:szCs w:val="24"/>
          <w:highlight w:val="none"/>
        </w:rPr>
        <w:t>故应急预案并定期演练。</w:t>
      </w:r>
    </w:p>
    <w:p w14:paraId="66EA09EC">
      <w:pPr>
        <w:spacing w:before="76" w:line="225" w:lineRule="auto"/>
        <w:ind w:left="1" w:right="77" w:firstLine="477"/>
        <w:jc w:val="both"/>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加强员工劳动保护，注重改善生产环境和条件，稳步推进生产半自动化、自动化。制定并</w:t>
      </w:r>
      <w:r>
        <w:rPr>
          <w:rFonts w:ascii="微软雅黑" w:hAnsi="微软雅黑" w:eastAsia="微软雅黑" w:cs="微软雅黑"/>
          <w:sz w:val="24"/>
          <w:szCs w:val="24"/>
          <w:highlight w:val="none"/>
        </w:rPr>
        <w:t>实施完善的安全培训计划，开展各种形式的安全活动，强化员工安全意识，提升安全技能，企</w:t>
      </w:r>
      <w:r>
        <w:rPr>
          <w:rFonts w:ascii="微软雅黑" w:hAnsi="微软雅黑" w:eastAsia="微软雅黑" w:cs="微软雅黑"/>
          <w:spacing w:val="-3"/>
          <w:sz w:val="24"/>
          <w:szCs w:val="24"/>
          <w:highlight w:val="none"/>
        </w:rPr>
        <w:t>业安全、健康、环保局面持续稳定。</w:t>
      </w:r>
    </w:p>
    <w:p w14:paraId="2286839B">
      <w:pPr>
        <w:pStyle w:val="3"/>
        <w:spacing w:line="385" w:lineRule="auto"/>
        <w:rPr>
          <w:highlight w:val="none"/>
        </w:rPr>
      </w:pPr>
    </w:p>
    <w:p w14:paraId="30256C94">
      <w:pPr>
        <w:spacing w:before="103" w:line="194" w:lineRule="auto"/>
        <w:ind w:left="17"/>
        <w:outlineLvl w:val="0"/>
        <w:rPr>
          <w:rFonts w:ascii="微软雅黑" w:hAnsi="微软雅黑" w:eastAsia="微软雅黑" w:cs="微软雅黑"/>
          <w:sz w:val="24"/>
          <w:szCs w:val="24"/>
          <w:highlight w:val="none"/>
        </w:rPr>
      </w:pPr>
      <w:bookmarkStart w:id="8" w:name="bookmark9"/>
      <w:bookmarkEnd w:id="8"/>
      <w:r>
        <w:rPr>
          <w:rFonts w:ascii="微软雅黑" w:hAnsi="微软雅黑" w:eastAsia="微软雅黑" w:cs="微软雅黑"/>
          <w:b/>
          <w:bCs/>
          <w:spacing w:val="-4"/>
          <w:sz w:val="24"/>
          <w:szCs w:val="24"/>
          <w:highlight w:val="none"/>
        </w:rPr>
        <w:t>5、合规经营</w:t>
      </w:r>
    </w:p>
    <w:p w14:paraId="79DFACDD">
      <w:pPr>
        <w:spacing w:before="84" w:line="228" w:lineRule="auto"/>
        <w:ind w:left="1" w:right="74" w:firstLine="484"/>
        <w:jc w:val="both"/>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为了更好地服务全球客户，我们承诺做一名良好的企业公民。这包括尊重各方权益、制造可持续的优质产品并负责任地采购、与优质伙伴建立合作关系。以上这些，影响着我们方方面</w:t>
      </w:r>
      <w:r>
        <w:rPr>
          <w:rFonts w:ascii="微软雅黑" w:hAnsi="微软雅黑" w:eastAsia="微软雅黑" w:cs="微软雅黑"/>
          <w:spacing w:val="-4"/>
          <w:sz w:val="24"/>
          <w:szCs w:val="24"/>
          <w:highlight w:val="none"/>
        </w:rPr>
        <w:t>面的工作，而我们会认真对待肩负的责任。正是长期建立起来、并且每天都在坚持的值得信赖</w:t>
      </w:r>
      <w:r>
        <w:rPr>
          <w:rFonts w:ascii="微软雅黑" w:hAnsi="微软雅黑" w:eastAsia="微软雅黑" w:cs="微软雅黑"/>
          <w:spacing w:val="-3"/>
          <w:sz w:val="24"/>
          <w:szCs w:val="24"/>
          <w:highlight w:val="none"/>
        </w:rPr>
        <w:t>的形象，使我们成为行业中的佼佼者。</w:t>
      </w:r>
    </w:p>
    <w:p w14:paraId="5AF61BD1">
      <w:pPr>
        <w:spacing w:before="75" w:line="229" w:lineRule="auto"/>
        <w:ind w:right="72" w:firstLine="480"/>
        <w:jc w:val="both"/>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我们本着守法精神</w:t>
      </w:r>
      <w:r>
        <w:rPr>
          <w:rFonts w:hint="eastAsia" w:ascii="微软雅黑" w:hAnsi="微软雅黑" w:eastAsia="微软雅黑" w:cs="微软雅黑"/>
          <w:sz w:val="24"/>
          <w:szCs w:val="24"/>
          <w:highlight w:val="none"/>
          <w:lang w:eastAsia="zh-CN"/>
        </w:rPr>
        <w:t>，</w:t>
      </w:r>
      <w:r>
        <w:rPr>
          <w:rFonts w:ascii="微软雅黑" w:hAnsi="微软雅黑" w:eastAsia="微软雅黑" w:cs="微软雅黑"/>
          <w:sz w:val="24"/>
          <w:szCs w:val="24"/>
          <w:highlight w:val="none"/>
        </w:rPr>
        <w:t>依法经营，以高道德标准在全球开展业务，我们相信优秀的管理可以为</w:t>
      </w:r>
      <w:r>
        <w:rPr>
          <w:rFonts w:ascii="微软雅黑" w:hAnsi="微软雅黑" w:eastAsia="微软雅黑" w:cs="微软雅黑"/>
          <w:spacing w:val="-3"/>
          <w:sz w:val="24"/>
          <w:szCs w:val="24"/>
          <w:highlight w:val="none"/>
        </w:rPr>
        <w:t>员工和客户带来更好的效益。“安全融合担当进取，以品质赢得尊</w:t>
      </w:r>
      <w:r>
        <w:rPr>
          <w:rFonts w:ascii="微软雅黑" w:hAnsi="微软雅黑" w:eastAsia="微软雅黑" w:cs="微软雅黑"/>
          <w:spacing w:val="-4"/>
          <w:sz w:val="24"/>
          <w:szCs w:val="24"/>
          <w:highlight w:val="none"/>
        </w:rPr>
        <w:t>重和合作”是我们的价值</w:t>
      </w:r>
      <w:r>
        <w:rPr>
          <w:rFonts w:ascii="微软雅黑" w:hAnsi="微软雅黑" w:eastAsia="微软雅黑" w:cs="微软雅黑"/>
          <w:spacing w:val="1"/>
          <w:sz w:val="24"/>
          <w:szCs w:val="24"/>
          <w:highlight w:val="none"/>
        </w:rPr>
        <w:t>观，我们的使命是打造有强大市场竞争力的新型铝</w:t>
      </w:r>
      <w:r>
        <w:rPr>
          <w:rFonts w:ascii="微软雅黑" w:hAnsi="微软雅黑" w:eastAsia="微软雅黑" w:cs="微软雅黑"/>
          <w:sz w:val="24"/>
          <w:szCs w:val="24"/>
          <w:highlight w:val="none"/>
        </w:rPr>
        <w:t>板带企业。它将我们团结在共同的事业和战</w:t>
      </w:r>
      <w:r>
        <w:rPr>
          <w:rFonts w:ascii="微软雅黑" w:hAnsi="微软雅黑" w:eastAsia="微软雅黑" w:cs="微软雅黑"/>
          <w:spacing w:val="-1"/>
          <w:sz w:val="24"/>
          <w:szCs w:val="24"/>
          <w:highlight w:val="none"/>
        </w:rPr>
        <w:t>略下，激励着</w:t>
      </w:r>
      <w:r>
        <w:rPr>
          <w:rFonts w:hint="eastAsia" w:ascii="微软雅黑" w:hAnsi="微软雅黑" w:eastAsia="微软雅黑" w:cs="微软雅黑"/>
          <w:spacing w:val="-1"/>
          <w:sz w:val="24"/>
          <w:szCs w:val="24"/>
          <w:highlight w:val="none"/>
          <w:lang w:eastAsia="zh-CN"/>
        </w:rPr>
        <w:t>安徽美信</w:t>
      </w:r>
      <w:r>
        <w:rPr>
          <w:rFonts w:ascii="微软雅黑" w:hAnsi="微软雅黑" w:eastAsia="微软雅黑" w:cs="微软雅黑"/>
          <w:spacing w:val="-1"/>
          <w:sz w:val="24"/>
          <w:szCs w:val="24"/>
          <w:highlight w:val="none"/>
        </w:rPr>
        <w:t>人每天做出积极贡献，以细微但有意义的方式改变每</w:t>
      </w:r>
      <w:r>
        <w:rPr>
          <w:rFonts w:ascii="微软雅黑" w:hAnsi="微软雅黑" w:eastAsia="微软雅黑" w:cs="微软雅黑"/>
          <w:spacing w:val="-2"/>
          <w:sz w:val="24"/>
          <w:szCs w:val="24"/>
          <w:highlight w:val="none"/>
        </w:rPr>
        <w:t>个人的日常生活。</w:t>
      </w:r>
    </w:p>
    <w:p w14:paraId="0EB2A0FC">
      <w:pPr>
        <w:spacing w:before="79" w:line="177" w:lineRule="auto"/>
        <w:ind w:left="480"/>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公司202</w:t>
      </w:r>
      <w:r>
        <w:rPr>
          <w:rFonts w:hint="eastAsia" w:ascii="微软雅黑" w:hAnsi="微软雅黑" w:eastAsia="微软雅黑" w:cs="微软雅黑"/>
          <w:spacing w:val="-2"/>
          <w:sz w:val="24"/>
          <w:szCs w:val="24"/>
          <w:highlight w:val="none"/>
          <w:lang w:val="en-US" w:eastAsia="zh-CN"/>
        </w:rPr>
        <w:t>3</w:t>
      </w:r>
      <w:r>
        <w:rPr>
          <w:rFonts w:ascii="微软雅黑" w:hAnsi="微软雅黑" w:eastAsia="微软雅黑" w:cs="微软雅黑"/>
          <w:spacing w:val="-2"/>
          <w:sz w:val="24"/>
          <w:szCs w:val="24"/>
          <w:highlight w:val="none"/>
        </w:rPr>
        <w:t>年度没有因为违反法律法规而受到行政部门的任何处罚。</w:t>
      </w:r>
    </w:p>
    <w:p w14:paraId="45C3BC19">
      <w:pPr>
        <w:spacing w:line="4668" w:lineRule="exact"/>
        <w:ind w:firstLine="772"/>
        <w:rPr>
          <w:highlight w:val="none"/>
        </w:rPr>
      </w:pPr>
      <w:r>
        <w:rPr>
          <w:position w:val="-93"/>
          <w:highlight w:val="none"/>
        </w:rPr>
        <w:drawing>
          <wp:inline distT="0" distB="0" distL="0" distR="0">
            <wp:extent cx="5546725" cy="296354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1"/>
                    <a:stretch>
                      <a:fillRect/>
                    </a:stretch>
                  </pic:blipFill>
                  <pic:spPr>
                    <a:xfrm>
                      <a:off x="0" y="0"/>
                      <a:ext cx="5547359" cy="2964167"/>
                    </a:xfrm>
                    <a:prstGeom prst="rect">
                      <a:avLst/>
                    </a:prstGeom>
                  </pic:spPr>
                </pic:pic>
              </a:graphicData>
            </a:graphic>
          </wp:inline>
        </w:drawing>
      </w:r>
    </w:p>
    <w:p w14:paraId="1C47477D">
      <w:pPr>
        <w:spacing w:line="4668" w:lineRule="exact"/>
        <w:rPr>
          <w:highlight w:val="none"/>
        </w:rPr>
        <w:sectPr>
          <w:footerReference r:id="rId12" w:type="default"/>
          <w:pgSz w:w="11907" w:h="16839"/>
          <w:pgMar w:top="1189" w:right="947" w:bottom="1251" w:left="1022" w:header="0" w:footer="1047" w:gutter="0"/>
          <w:pgNumType w:fmt="decimal"/>
          <w:cols w:space="720" w:num="1"/>
        </w:sectPr>
      </w:pPr>
    </w:p>
    <w:p w14:paraId="3004E787">
      <w:pPr>
        <w:spacing w:before="51" w:line="193" w:lineRule="auto"/>
        <w:ind w:left="11"/>
        <w:outlineLvl w:val="0"/>
        <w:rPr>
          <w:rFonts w:ascii="微软雅黑" w:hAnsi="微软雅黑" w:eastAsia="微软雅黑" w:cs="微软雅黑"/>
          <w:sz w:val="24"/>
          <w:szCs w:val="24"/>
          <w:highlight w:val="none"/>
        </w:rPr>
      </w:pPr>
      <w:bookmarkStart w:id="9" w:name="bookmark10"/>
      <w:bookmarkEnd w:id="9"/>
      <w:r>
        <w:rPr>
          <w:rFonts w:ascii="微软雅黑" w:hAnsi="微软雅黑" w:eastAsia="微软雅黑" w:cs="微软雅黑"/>
          <w:b/>
          <w:bCs/>
          <w:spacing w:val="-1"/>
          <w:sz w:val="24"/>
          <w:szCs w:val="24"/>
          <w:highlight w:val="none"/>
        </w:rPr>
        <w:t>6、持续强化反腐败和反商业贿赂管理体系建设</w:t>
      </w:r>
    </w:p>
    <w:p w14:paraId="1C26BABE">
      <w:pPr>
        <w:spacing w:before="79" w:afterAutospacing="0" w:line="231" w:lineRule="auto"/>
        <w:ind w:left="1" w:right="3" w:firstLine="481"/>
        <w:jc w:val="both"/>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lang w:eastAsia="zh-CN"/>
        </w:rPr>
        <w:t>安徽美信</w:t>
      </w:r>
      <w:r>
        <w:rPr>
          <w:rFonts w:ascii="微软雅黑" w:hAnsi="微软雅黑" w:eastAsia="微软雅黑" w:cs="微软雅黑"/>
          <w:sz w:val="24"/>
          <w:szCs w:val="24"/>
          <w:highlight w:val="none"/>
        </w:rPr>
        <w:t>以“恪守诚信”作为生存之基、立身之本。为此，企业加强内控机制建设，同时</w:t>
      </w:r>
      <w:r>
        <w:rPr>
          <w:rFonts w:ascii="微软雅黑" w:hAnsi="微软雅黑" w:eastAsia="微软雅黑" w:cs="微软雅黑"/>
          <w:spacing w:val="1"/>
          <w:sz w:val="24"/>
          <w:szCs w:val="24"/>
          <w:highlight w:val="none"/>
        </w:rPr>
        <w:t>结合公司的实际情况，强化制度监督，推进</w:t>
      </w:r>
      <w:r>
        <w:rPr>
          <w:rFonts w:ascii="微软雅黑" w:hAnsi="微软雅黑" w:eastAsia="微软雅黑" w:cs="微软雅黑"/>
          <w:sz w:val="24"/>
          <w:szCs w:val="24"/>
          <w:highlight w:val="none"/>
        </w:rPr>
        <w:t>制度反腐，加强对易发多发腐败的重点环节、重点</w:t>
      </w:r>
      <w:r>
        <w:rPr>
          <w:rFonts w:ascii="微软雅黑" w:hAnsi="微软雅黑" w:eastAsia="微软雅黑" w:cs="微软雅黑"/>
          <w:spacing w:val="-3"/>
          <w:sz w:val="24"/>
          <w:szCs w:val="24"/>
          <w:highlight w:val="none"/>
        </w:rPr>
        <w:t>部位岗位人员的监督</w:t>
      </w:r>
      <w:r>
        <w:rPr>
          <w:rFonts w:hint="eastAsia" w:ascii="微软雅黑" w:hAnsi="微软雅黑" w:eastAsia="微软雅黑" w:cs="微软雅黑"/>
          <w:spacing w:val="-3"/>
          <w:sz w:val="24"/>
          <w:szCs w:val="24"/>
          <w:highlight w:val="none"/>
          <w:lang w:val="en-US" w:eastAsia="zh-CN"/>
        </w:rPr>
        <w:t xml:space="preserve"> </w:t>
      </w:r>
      <w:r>
        <w:rPr>
          <w:rFonts w:ascii="微软雅黑" w:hAnsi="微软雅黑" w:eastAsia="微软雅黑" w:cs="微软雅黑"/>
          <w:spacing w:val="-3"/>
          <w:sz w:val="24"/>
          <w:szCs w:val="24"/>
          <w:highlight w:val="none"/>
        </w:rPr>
        <w:t>、管理力度，严格遵循公平竞争规则，引导公司管理人员及相关利益团体</w:t>
      </w:r>
      <w:r>
        <w:rPr>
          <w:rFonts w:hint="eastAsia" w:ascii="微软雅黑" w:hAnsi="微软雅黑" w:eastAsia="微软雅黑" w:cs="微软雅黑"/>
          <w:spacing w:val="-3"/>
          <w:sz w:val="24"/>
          <w:szCs w:val="24"/>
          <w:highlight w:val="none"/>
          <w:lang w:val="en-US" w:eastAsia="zh-CN"/>
        </w:rPr>
        <w:t xml:space="preserve"> </w:t>
      </w:r>
      <w:r>
        <w:rPr>
          <w:rFonts w:ascii="微软雅黑" w:hAnsi="微软雅黑" w:eastAsia="微软雅黑" w:cs="微软雅黑"/>
          <w:spacing w:val="-11"/>
          <w:sz w:val="24"/>
          <w:szCs w:val="24"/>
          <w:highlight w:val="none"/>
        </w:rPr>
        <w:t>(如客</w:t>
      </w:r>
      <w:r>
        <w:rPr>
          <w:rFonts w:ascii="微软雅黑" w:hAnsi="微软雅黑" w:eastAsia="微软雅黑" w:cs="微软雅黑"/>
          <w:spacing w:val="-10"/>
          <w:sz w:val="24"/>
          <w:szCs w:val="24"/>
          <w:highlight w:val="none"/>
        </w:rPr>
        <w:t>户、供应商等)依法办事，诚实守信，自觉抵制见利忘义、损公肥私、不讲</w:t>
      </w:r>
      <w:r>
        <w:rPr>
          <w:rFonts w:ascii="微软雅黑" w:hAnsi="微软雅黑" w:eastAsia="微软雅黑" w:cs="微软雅黑"/>
          <w:spacing w:val="-11"/>
          <w:sz w:val="24"/>
          <w:szCs w:val="24"/>
          <w:highlight w:val="none"/>
        </w:rPr>
        <w:t>信用、欺骗欺</w:t>
      </w:r>
      <w:r>
        <w:rPr>
          <w:rFonts w:ascii="微软雅黑" w:hAnsi="微软雅黑" w:eastAsia="微软雅黑" w:cs="微软雅黑"/>
          <w:spacing w:val="-8"/>
          <w:sz w:val="24"/>
          <w:szCs w:val="24"/>
          <w:highlight w:val="none"/>
        </w:rPr>
        <w:t>诈</w:t>
      </w:r>
      <w:r>
        <w:rPr>
          <w:rFonts w:ascii="微软雅黑" w:hAnsi="微软雅黑" w:eastAsia="微软雅黑" w:cs="微软雅黑"/>
          <w:spacing w:val="-6"/>
          <w:sz w:val="24"/>
          <w:szCs w:val="24"/>
          <w:highlight w:val="none"/>
        </w:rPr>
        <w:t>等消极腐败现象。</w:t>
      </w:r>
    </w:p>
    <w:p w14:paraId="53D60FD1">
      <w:pPr>
        <w:spacing w:before="75" w:line="225" w:lineRule="auto"/>
        <w:ind w:left="14" w:right="5" w:firstLine="468"/>
        <w:jc w:val="both"/>
        <w:rPr>
          <w:rFonts w:ascii="微软雅黑" w:hAnsi="微软雅黑" w:eastAsia="微软雅黑" w:cs="微软雅黑"/>
          <w:color w:val="auto"/>
          <w:sz w:val="24"/>
          <w:szCs w:val="24"/>
          <w:highlight w:val="none"/>
        </w:rPr>
      </w:pPr>
      <w:r>
        <w:rPr>
          <w:rFonts w:hint="eastAsia" w:ascii="微软雅黑" w:hAnsi="微软雅黑" w:eastAsia="微软雅黑" w:cs="微软雅黑"/>
          <w:sz w:val="24"/>
          <w:szCs w:val="24"/>
          <w:highlight w:val="none"/>
          <w:lang w:eastAsia="zh-CN"/>
        </w:rPr>
        <w:t>安徽美信</w:t>
      </w:r>
      <w:r>
        <w:rPr>
          <w:rFonts w:ascii="微软雅黑" w:hAnsi="微软雅黑" w:eastAsia="微软雅黑" w:cs="微软雅黑"/>
          <w:sz w:val="24"/>
          <w:szCs w:val="24"/>
          <w:highlight w:val="none"/>
        </w:rPr>
        <w:t>委托</w:t>
      </w:r>
      <w:r>
        <w:rPr>
          <w:rFonts w:hint="eastAsia" w:ascii="微软雅黑" w:hAnsi="微软雅黑" w:eastAsia="微软雅黑" w:cs="微软雅黑"/>
          <w:sz w:val="24"/>
          <w:szCs w:val="24"/>
          <w:highlight w:val="none"/>
          <w:lang w:val="en-US" w:eastAsia="zh-CN"/>
        </w:rPr>
        <w:t>安徽华亚</w:t>
      </w:r>
      <w:r>
        <w:rPr>
          <w:rFonts w:ascii="微软雅黑" w:hAnsi="微软雅黑" w:eastAsia="微软雅黑" w:cs="微软雅黑"/>
          <w:color w:val="auto"/>
          <w:sz w:val="24"/>
          <w:szCs w:val="24"/>
          <w:highlight w:val="none"/>
        </w:rPr>
        <w:t>会计师事务</w:t>
      </w:r>
      <w:r>
        <w:rPr>
          <w:rFonts w:ascii="微软雅黑" w:hAnsi="微软雅黑" w:eastAsia="微软雅黑" w:cs="微软雅黑"/>
          <w:sz w:val="24"/>
          <w:szCs w:val="24"/>
          <w:highlight w:val="none"/>
        </w:rPr>
        <w:t>所对我司财务报表进行审计，</w:t>
      </w:r>
      <w:r>
        <w:rPr>
          <w:rFonts w:hint="eastAsia" w:ascii="微软雅黑" w:hAnsi="微软雅黑" w:eastAsia="微软雅黑" w:cs="微软雅黑"/>
          <w:sz w:val="24"/>
          <w:szCs w:val="24"/>
          <w:highlight w:val="none"/>
          <w:lang w:val="en-US" w:eastAsia="zh-CN"/>
        </w:rPr>
        <w:t>华亚</w:t>
      </w:r>
      <w:r>
        <w:rPr>
          <w:rFonts w:ascii="微软雅黑" w:hAnsi="微软雅黑" w:eastAsia="微软雅黑" w:cs="微软雅黑"/>
          <w:sz w:val="24"/>
          <w:szCs w:val="24"/>
          <w:highlight w:val="none"/>
        </w:rPr>
        <w:t>认为财务报表公允的反</w:t>
      </w:r>
      <w:r>
        <w:rPr>
          <w:rFonts w:ascii="微软雅黑" w:hAnsi="微软雅黑" w:eastAsia="微软雅黑" w:cs="微软雅黑"/>
          <w:spacing w:val="-6"/>
          <w:sz w:val="24"/>
          <w:szCs w:val="24"/>
          <w:highlight w:val="none"/>
        </w:rPr>
        <w:t>映了我司202</w:t>
      </w:r>
      <w:r>
        <w:rPr>
          <w:rFonts w:hint="eastAsia" w:ascii="微软雅黑" w:hAnsi="微软雅黑" w:eastAsia="微软雅黑" w:cs="微软雅黑"/>
          <w:spacing w:val="-6"/>
          <w:sz w:val="24"/>
          <w:szCs w:val="24"/>
          <w:highlight w:val="none"/>
          <w:lang w:val="en-US" w:eastAsia="zh-CN"/>
        </w:rPr>
        <w:t>3</w:t>
      </w:r>
      <w:r>
        <w:rPr>
          <w:rFonts w:ascii="微软雅黑" w:hAnsi="微软雅黑" w:eastAsia="微软雅黑" w:cs="微软雅黑"/>
          <w:spacing w:val="-6"/>
          <w:sz w:val="24"/>
          <w:szCs w:val="24"/>
          <w:highlight w:val="none"/>
        </w:rPr>
        <w:t>年度的经营成果和现金流量。</w:t>
      </w:r>
      <w:r>
        <w:rPr>
          <w:rFonts w:hint="eastAsia" w:ascii="微软雅黑" w:hAnsi="微软雅黑" w:eastAsia="微软雅黑" w:cs="微软雅黑"/>
          <w:color w:val="auto"/>
          <w:spacing w:val="-6"/>
          <w:sz w:val="24"/>
          <w:szCs w:val="24"/>
          <w:highlight w:val="none"/>
          <w:lang w:eastAsia="zh-CN"/>
        </w:rPr>
        <w:t>安徽美信</w:t>
      </w:r>
      <w:r>
        <w:rPr>
          <w:rFonts w:ascii="微软雅黑" w:hAnsi="微软雅黑" w:eastAsia="微软雅黑" w:cs="微软雅黑"/>
          <w:color w:val="auto"/>
          <w:spacing w:val="-6"/>
          <w:sz w:val="24"/>
          <w:szCs w:val="24"/>
          <w:highlight w:val="none"/>
        </w:rPr>
        <w:t>重要岗位人员1</w:t>
      </w:r>
      <w:r>
        <w:rPr>
          <w:rFonts w:hint="eastAsia" w:ascii="微软雅黑" w:hAnsi="微软雅黑" w:eastAsia="微软雅黑" w:cs="微软雅黑"/>
          <w:color w:val="auto"/>
          <w:spacing w:val="-6"/>
          <w:sz w:val="24"/>
          <w:szCs w:val="24"/>
          <w:highlight w:val="none"/>
          <w:lang w:val="en-US" w:eastAsia="zh-CN"/>
        </w:rPr>
        <w:t>1</w:t>
      </w:r>
      <w:r>
        <w:rPr>
          <w:rFonts w:ascii="微软雅黑" w:hAnsi="微软雅黑" w:eastAsia="微软雅黑" w:cs="微软雅黑"/>
          <w:color w:val="auto"/>
          <w:spacing w:val="-6"/>
          <w:sz w:val="24"/>
          <w:szCs w:val="24"/>
          <w:highlight w:val="none"/>
        </w:rPr>
        <w:t>人签署反</w:t>
      </w:r>
      <w:r>
        <w:rPr>
          <w:rFonts w:ascii="微软雅黑" w:hAnsi="微软雅黑" w:eastAsia="微软雅黑" w:cs="微软雅黑"/>
          <w:color w:val="auto"/>
          <w:spacing w:val="-7"/>
          <w:sz w:val="24"/>
          <w:szCs w:val="24"/>
          <w:highlight w:val="none"/>
        </w:rPr>
        <w:t>腐败协议，</w:t>
      </w:r>
      <w:r>
        <w:rPr>
          <w:rFonts w:hint="eastAsia" w:ascii="微软雅黑" w:hAnsi="微软雅黑" w:eastAsia="微软雅黑" w:cs="微软雅黑"/>
          <w:color w:val="auto"/>
          <w:spacing w:val="-7"/>
          <w:sz w:val="24"/>
          <w:szCs w:val="24"/>
          <w:highlight w:val="none"/>
          <w:lang w:val="en-US" w:eastAsia="zh-CN"/>
        </w:rPr>
        <w:t>6</w:t>
      </w:r>
      <w:r>
        <w:rPr>
          <w:rFonts w:ascii="微软雅黑" w:hAnsi="微软雅黑" w:eastAsia="微软雅黑" w:cs="微软雅黑"/>
          <w:color w:val="auto"/>
          <w:spacing w:val="-8"/>
          <w:sz w:val="24"/>
          <w:szCs w:val="24"/>
          <w:highlight w:val="none"/>
        </w:rPr>
        <w:t>家供应商签署恪守商业道德协议书，202</w:t>
      </w:r>
      <w:r>
        <w:rPr>
          <w:rFonts w:hint="eastAsia" w:ascii="微软雅黑" w:hAnsi="微软雅黑" w:eastAsia="微软雅黑" w:cs="微软雅黑"/>
          <w:color w:val="auto"/>
          <w:spacing w:val="-8"/>
          <w:sz w:val="24"/>
          <w:szCs w:val="24"/>
          <w:highlight w:val="none"/>
          <w:lang w:val="en-US" w:eastAsia="zh-CN"/>
        </w:rPr>
        <w:t>3</w:t>
      </w:r>
      <w:r>
        <w:rPr>
          <w:rFonts w:ascii="微软雅黑" w:hAnsi="微软雅黑" w:eastAsia="微软雅黑" w:cs="微软雅黑"/>
          <w:color w:val="auto"/>
          <w:spacing w:val="-8"/>
          <w:sz w:val="24"/>
          <w:szCs w:val="24"/>
          <w:highlight w:val="none"/>
        </w:rPr>
        <w:t>年度无腐</w:t>
      </w:r>
      <w:r>
        <w:rPr>
          <w:rFonts w:ascii="微软雅黑" w:hAnsi="微软雅黑" w:eastAsia="微软雅黑" w:cs="微软雅黑"/>
          <w:color w:val="auto"/>
          <w:spacing w:val="-9"/>
          <w:sz w:val="24"/>
          <w:szCs w:val="24"/>
          <w:highlight w:val="none"/>
        </w:rPr>
        <w:t>败案例。</w:t>
      </w:r>
    </w:p>
    <w:p w14:paraId="5C8F350C">
      <w:pPr>
        <w:spacing w:before="77" w:line="231" w:lineRule="auto"/>
        <w:ind w:firstLine="482"/>
        <w:jc w:val="both"/>
        <w:rPr>
          <w:rFonts w:ascii="微软雅黑" w:hAnsi="微软雅黑" w:eastAsia="微软雅黑" w:cs="微软雅黑"/>
          <w:sz w:val="24"/>
          <w:szCs w:val="24"/>
          <w:highlight w:val="none"/>
        </w:rPr>
      </w:pPr>
      <w:r>
        <w:rPr>
          <w:rFonts w:hint="eastAsia" w:ascii="微软雅黑" w:hAnsi="微软雅黑" w:eastAsia="微软雅黑" w:cs="微软雅黑"/>
          <w:spacing w:val="-4"/>
          <w:sz w:val="24"/>
          <w:szCs w:val="24"/>
          <w:highlight w:val="none"/>
          <w:lang w:eastAsia="zh-CN"/>
        </w:rPr>
        <w:t>安徽美信</w:t>
      </w:r>
      <w:r>
        <w:rPr>
          <w:rFonts w:ascii="微软雅黑" w:hAnsi="微软雅黑" w:eastAsia="微软雅黑" w:cs="微软雅黑"/>
          <w:spacing w:val="-4"/>
          <w:sz w:val="24"/>
          <w:szCs w:val="24"/>
          <w:highlight w:val="none"/>
        </w:rPr>
        <w:t>将“守法合规经营”视为不可逾越的底线。</w:t>
      </w:r>
      <w:r>
        <w:rPr>
          <w:rFonts w:ascii="微软雅黑" w:hAnsi="微软雅黑" w:eastAsia="微软雅黑" w:cs="微软雅黑"/>
          <w:spacing w:val="-5"/>
          <w:sz w:val="24"/>
          <w:szCs w:val="24"/>
          <w:highlight w:val="none"/>
        </w:rPr>
        <w:t>202</w:t>
      </w:r>
      <w:r>
        <w:rPr>
          <w:rFonts w:hint="eastAsia" w:ascii="微软雅黑" w:hAnsi="微软雅黑" w:eastAsia="微软雅黑" w:cs="微软雅黑"/>
          <w:spacing w:val="-5"/>
          <w:sz w:val="24"/>
          <w:szCs w:val="24"/>
          <w:highlight w:val="none"/>
          <w:lang w:val="en-US" w:eastAsia="zh-CN"/>
        </w:rPr>
        <w:t>4</w:t>
      </w:r>
      <w:r>
        <w:rPr>
          <w:rFonts w:ascii="微软雅黑" w:hAnsi="微软雅黑" w:eastAsia="微软雅黑" w:cs="微软雅黑"/>
          <w:spacing w:val="-5"/>
          <w:sz w:val="24"/>
          <w:szCs w:val="24"/>
          <w:highlight w:val="none"/>
        </w:rPr>
        <w:t>年，在继续深化公司既有的各项</w:t>
      </w:r>
      <w:r>
        <w:rPr>
          <w:rFonts w:ascii="微软雅黑" w:hAnsi="微软雅黑" w:eastAsia="微软雅黑" w:cs="微软雅黑"/>
          <w:spacing w:val="-3"/>
          <w:sz w:val="24"/>
          <w:szCs w:val="24"/>
          <w:highlight w:val="none"/>
        </w:rPr>
        <w:t>规章制度的基础上，进一步完善合规管理评价。严格遵守《中华人民共和国公司法》等有关防</w:t>
      </w:r>
      <w:r>
        <w:rPr>
          <w:rFonts w:ascii="微软雅黑" w:hAnsi="微软雅黑" w:eastAsia="微软雅黑" w:cs="微软雅黑"/>
          <w:spacing w:val="1"/>
          <w:sz w:val="24"/>
          <w:szCs w:val="24"/>
          <w:highlight w:val="none"/>
        </w:rPr>
        <w:t>止贿赂、勒索、欺诈的外部法律与规例，以防范</w:t>
      </w:r>
      <w:r>
        <w:rPr>
          <w:rFonts w:ascii="微软雅黑" w:hAnsi="微软雅黑" w:eastAsia="微软雅黑" w:cs="微软雅黑"/>
          <w:sz w:val="24"/>
          <w:szCs w:val="24"/>
          <w:highlight w:val="none"/>
        </w:rPr>
        <w:t>贪腐现象。针对工程建设、物资采购、业务销</w:t>
      </w:r>
      <w:r>
        <w:rPr>
          <w:rFonts w:ascii="微软雅黑" w:hAnsi="微软雅黑" w:eastAsia="微软雅黑" w:cs="微软雅黑"/>
          <w:spacing w:val="-3"/>
          <w:sz w:val="24"/>
          <w:szCs w:val="24"/>
          <w:highlight w:val="none"/>
        </w:rPr>
        <w:t>售等重点工作领域，完善招投标管理制度、优化组织结构、定期轮岗作业等规章制度，有效地</w:t>
      </w:r>
      <w:r>
        <w:rPr>
          <w:rFonts w:ascii="微软雅黑" w:hAnsi="微软雅黑" w:eastAsia="微软雅黑" w:cs="微软雅黑"/>
          <w:spacing w:val="-1"/>
          <w:sz w:val="24"/>
          <w:szCs w:val="24"/>
          <w:highlight w:val="none"/>
        </w:rPr>
        <w:t>实现权力制衡。加强监督检查、强化审计力度等方式，进一步规范企业人员</w:t>
      </w:r>
      <w:r>
        <w:rPr>
          <w:rFonts w:ascii="微软雅黑" w:hAnsi="微软雅黑" w:eastAsia="微软雅黑" w:cs="微软雅黑"/>
          <w:spacing w:val="-2"/>
          <w:sz w:val="24"/>
          <w:szCs w:val="24"/>
          <w:highlight w:val="none"/>
        </w:rPr>
        <w:t>的从业行为。</w:t>
      </w:r>
    </w:p>
    <w:p w14:paraId="2D87991B">
      <w:pPr>
        <w:spacing w:before="78" w:line="231" w:lineRule="auto"/>
        <w:ind w:right="5" w:firstLine="482"/>
        <w:jc w:val="both"/>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我们要求所有员工或代表公司从事商业行为的第三方，遵守所在国家、地区及所有适用的</w:t>
      </w:r>
      <w:r>
        <w:rPr>
          <w:rFonts w:ascii="微软雅黑" w:hAnsi="微软雅黑" w:eastAsia="微软雅黑" w:cs="微软雅黑"/>
          <w:spacing w:val="-12"/>
          <w:sz w:val="24"/>
          <w:szCs w:val="24"/>
          <w:highlight w:val="none"/>
        </w:rPr>
        <w:t>法律法规，遵守客户反腐败和商业贿赂要求，同时，公司向合作伙伴传递反商业贿赂</w:t>
      </w:r>
      <w:r>
        <w:rPr>
          <w:rFonts w:ascii="微软雅黑" w:hAnsi="微软雅黑" w:eastAsia="微软雅黑" w:cs="微软雅黑"/>
          <w:spacing w:val="-13"/>
          <w:sz w:val="24"/>
          <w:szCs w:val="24"/>
          <w:highlight w:val="none"/>
        </w:rPr>
        <w:t>相关要求，</w:t>
      </w:r>
      <w:r>
        <w:rPr>
          <w:rFonts w:ascii="微软雅黑" w:hAnsi="微软雅黑" w:eastAsia="微软雅黑" w:cs="微软雅黑"/>
          <w:spacing w:val="-6"/>
          <w:sz w:val="24"/>
          <w:szCs w:val="24"/>
          <w:highlight w:val="none"/>
        </w:rPr>
        <w:t>要求合作伙伴学习和签署反腐败和商业贿赂协议，并提供投诉渠道</w:t>
      </w:r>
      <w:r>
        <w:rPr>
          <w:rFonts w:ascii="微软雅黑" w:hAnsi="微软雅黑" w:eastAsia="微软雅黑" w:cs="微软雅黑"/>
          <w:spacing w:val="-7"/>
          <w:sz w:val="24"/>
          <w:szCs w:val="24"/>
          <w:highlight w:val="none"/>
        </w:rPr>
        <w:t>，鼓励知情者举报违规行为。</w:t>
      </w:r>
      <w:r>
        <w:rPr>
          <w:rFonts w:ascii="微软雅黑" w:hAnsi="微软雅黑" w:eastAsia="微软雅黑" w:cs="微软雅黑"/>
          <w:spacing w:val="-4"/>
          <w:sz w:val="24"/>
          <w:szCs w:val="24"/>
          <w:highlight w:val="none"/>
        </w:rPr>
        <w:t>各层级人员恪守廉洁底线。对全员进行日常的反腐倡廉宣传教育，欢迎举报贪腐和违法行为，</w:t>
      </w:r>
      <w:r>
        <w:rPr>
          <w:rFonts w:ascii="微软雅黑" w:hAnsi="微软雅黑" w:eastAsia="微软雅黑" w:cs="微软雅黑"/>
          <w:spacing w:val="-6"/>
          <w:sz w:val="24"/>
          <w:szCs w:val="24"/>
          <w:highlight w:val="none"/>
        </w:rPr>
        <w:t>经查实给予举报者奖励。我们承诺对举报人的私人信息严格保密，</w:t>
      </w:r>
      <w:r>
        <w:rPr>
          <w:rFonts w:ascii="微软雅黑" w:hAnsi="微软雅黑" w:eastAsia="微软雅黑" w:cs="微软雅黑"/>
          <w:spacing w:val="-7"/>
          <w:sz w:val="24"/>
          <w:szCs w:val="24"/>
          <w:highlight w:val="none"/>
        </w:rPr>
        <w:t>切实保障举报人的合法权益。</w:t>
      </w:r>
    </w:p>
    <w:p w14:paraId="51E729BA">
      <w:pPr>
        <w:pStyle w:val="3"/>
        <w:spacing w:line="385" w:lineRule="auto"/>
        <w:rPr>
          <w:highlight w:val="none"/>
        </w:rPr>
      </w:pPr>
    </w:p>
    <w:p w14:paraId="05B18FB2">
      <w:pPr>
        <w:spacing w:before="103" w:line="194" w:lineRule="auto"/>
        <w:ind w:left="480"/>
        <w:rPr>
          <w:rFonts w:ascii="微软雅黑" w:hAnsi="微软雅黑" w:eastAsia="微软雅黑" w:cs="微软雅黑"/>
          <w:spacing w:val="-10"/>
          <w:sz w:val="24"/>
          <w:szCs w:val="24"/>
          <w:highlight w:val="none"/>
        </w:rPr>
      </w:pPr>
      <w:r>
        <w:rPr>
          <w:rFonts w:ascii="微软雅黑" w:hAnsi="微软雅黑" w:eastAsia="微软雅黑" w:cs="微软雅黑"/>
          <w:spacing w:val="-10"/>
          <w:sz w:val="24"/>
          <w:szCs w:val="24"/>
          <w:highlight w:val="none"/>
        </w:rPr>
        <w:t>举报电话：0561-7976888</w:t>
      </w:r>
    </w:p>
    <w:p w14:paraId="357E0FE9">
      <w:pPr>
        <w:spacing w:before="103" w:line="194" w:lineRule="auto"/>
        <w:ind w:left="480"/>
        <w:rPr>
          <w:rFonts w:ascii="微软雅黑" w:hAnsi="微软雅黑" w:eastAsia="微软雅黑" w:cs="微软雅黑"/>
          <w:spacing w:val="-10"/>
          <w:sz w:val="24"/>
          <w:szCs w:val="24"/>
          <w:highlight w:val="none"/>
        </w:rPr>
      </w:pPr>
      <w:r>
        <w:rPr>
          <w:rFonts w:ascii="微软雅黑" w:hAnsi="微软雅黑" w:eastAsia="微软雅黑" w:cs="微软雅黑"/>
          <w:spacing w:val="-10"/>
          <w:sz w:val="24"/>
          <w:szCs w:val="24"/>
          <w:highlight w:val="none"/>
        </w:rPr>
        <w:t>举报邮箱：zml@zjalufoil.com</w:t>
      </w:r>
    </w:p>
    <w:p w14:paraId="56C24136">
      <w:pPr>
        <w:spacing w:line="179" w:lineRule="auto"/>
        <w:rPr>
          <w:rFonts w:ascii="微软雅黑" w:hAnsi="微软雅黑" w:eastAsia="微软雅黑" w:cs="微软雅黑"/>
          <w:sz w:val="24"/>
          <w:szCs w:val="24"/>
          <w:highlight w:val="none"/>
        </w:rPr>
        <w:sectPr>
          <w:footerReference r:id="rId13" w:type="default"/>
          <w:pgSz w:w="11907" w:h="16839"/>
          <w:pgMar w:top="1189" w:right="1018" w:bottom="1251" w:left="1021" w:header="0" w:footer="1047" w:gutter="0"/>
          <w:pgNumType w:fmt="decimal"/>
          <w:cols w:space="720" w:num="1"/>
        </w:sectPr>
      </w:pPr>
    </w:p>
    <w:p w14:paraId="45AF5DE6">
      <w:pPr>
        <w:spacing w:before="68" w:line="198" w:lineRule="auto"/>
        <w:ind w:left="2"/>
        <w:rPr>
          <w:rFonts w:ascii="微软雅黑" w:hAnsi="微软雅黑" w:eastAsia="微软雅黑" w:cs="微软雅黑"/>
          <w:sz w:val="31"/>
          <w:szCs w:val="31"/>
          <w:highlight w:val="none"/>
        </w:rPr>
      </w:pPr>
      <w:bookmarkStart w:id="10" w:name="bookmark11"/>
      <w:bookmarkEnd w:id="10"/>
      <w:r>
        <w:rPr>
          <w:rFonts w:ascii="微软雅黑" w:hAnsi="微软雅黑" w:eastAsia="微软雅黑" w:cs="微软雅黑"/>
          <w:b/>
          <w:bCs/>
          <w:spacing w:val="9"/>
          <w:sz w:val="31"/>
          <w:szCs w:val="31"/>
          <w:highlight w:val="none"/>
          <w:u w:val="single" w:color="auto"/>
        </w:rPr>
        <w:t>职业健康与安全管理体系成效</w:t>
      </w:r>
    </w:p>
    <w:p w14:paraId="02D69426">
      <w:pPr>
        <w:pStyle w:val="3"/>
        <w:spacing w:line="296" w:lineRule="auto"/>
        <w:rPr>
          <w:highlight w:val="none"/>
        </w:rPr>
      </w:pPr>
    </w:p>
    <w:p w14:paraId="7AEE2FF4">
      <w:pPr>
        <w:pStyle w:val="3"/>
        <w:spacing w:line="296" w:lineRule="auto"/>
        <w:rPr>
          <w:highlight w:val="none"/>
        </w:rPr>
      </w:pPr>
    </w:p>
    <w:p w14:paraId="2CDFD11A">
      <w:pPr>
        <w:spacing w:before="103" w:line="216" w:lineRule="auto"/>
        <w:ind w:left="13" w:right="2" w:firstLine="469"/>
        <w:jc w:val="both"/>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安全是企业长期健康发展的基石，作为一家负责任的企业，我们建立了“</w:t>
      </w:r>
      <w:r>
        <w:rPr>
          <w:rFonts w:hint="eastAsia" w:ascii="微软雅黑" w:hAnsi="微软雅黑" w:eastAsia="微软雅黑" w:cs="微软雅黑"/>
          <w:spacing w:val="-2"/>
          <w:sz w:val="24"/>
          <w:szCs w:val="24"/>
          <w:highlight w:val="none"/>
        </w:rPr>
        <w:t xml:space="preserve">保障健康 </w:t>
      </w:r>
      <w:r>
        <w:rPr>
          <w:rFonts w:hint="eastAsia" w:ascii="微软雅黑" w:hAnsi="微软雅黑" w:eastAsia="微软雅黑" w:cs="微软雅黑"/>
          <w:spacing w:val="-2"/>
          <w:sz w:val="24"/>
          <w:szCs w:val="24"/>
          <w:highlight w:val="none"/>
          <w:lang w:val="en-US" w:eastAsia="zh-CN"/>
        </w:rPr>
        <w:t xml:space="preserve"> </w:t>
      </w:r>
      <w:r>
        <w:rPr>
          <w:rFonts w:hint="eastAsia" w:ascii="微软雅黑" w:hAnsi="微软雅黑" w:eastAsia="微软雅黑" w:cs="微软雅黑"/>
          <w:spacing w:val="-2"/>
          <w:sz w:val="24"/>
          <w:szCs w:val="24"/>
          <w:highlight w:val="none"/>
        </w:rPr>
        <w:t xml:space="preserve"> 安全第一</w:t>
      </w:r>
      <w:r>
        <w:rPr>
          <w:rFonts w:ascii="微软雅黑" w:hAnsi="微软雅黑" w:eastAsia="微软雅黑" w:cs="微软雅黑"/>
          <w:spacing w:val="-2"/>
          <w:sz w:val="24"/>
          <w:szCs w:val="24"/>
          <w:highlight w:val="none"/>
        </w:rPr>
        <w:t>”的方针，保障每一位员工的合法权益。</w:t>
      </w:r>
    </w:p>
    <w:p w14:paraId="00A40E94">
      <w:pPr>
        <w:spacing w:before="81" w:line="194" w:lineRule="auto"/>
        <w:ind w:left="483"/>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职业健康安全目标：</w:t>
      </w:r>
    </w:p>
    <w:p w14:paraId="28491D3E">
      <w:pPr>
        <w:spacing w:before="77" w:line="189" w:lineRule="auto"/>
        <w:ind w:left="496"/>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(1)职业病发病率为零</w:t>
      </w:r>
    </w:p>
    <w:p w14:paraId="29E19373">
      <w:pPr>
        <w:spacing w:before="88" w:line="189" w:lineRule="auto"/>
        <w:ind w:left="496"/>
        <w:rPr>
          <w:rFonts w:ascii="微软雅黑" w:hAnsi="微软雅黑" w:eastAsia="微软雅黑" w:cs="微软雅黑"/>
          <w:sz w:val="24"/>
          <w:szCs w:val="24"/>
          <w:highlight w:val="none"/>
        </w:rPr>
      </w:pPr>
      <w:r>
        <w:rPr>
          <w:rFonts w:ascii="微软雅黑" w:hAnsi="微软雅黑" w:eastAsia="微软雅黑" w:cs="微软雅黑"/>
          <w:spacing w:val="-4"/>
          <w:sz w:val="24"/>
          <w:szCs w:val="24"/>
          <w:highlight w:val="none"/>
        </w:rPr>
        <w:t>(2)杜绝重大工伤及火灾事件。</w:t>
      </w:r>
    </w:p>
    <w:p w14:paraId="3E6A641D">
      <w:pPr>
        <w:pStyle w:val="3"/>
        <w:spacing w:line="252" w:lineRule="auto"/>
        <w:rPr>
          <w:highlight w:val="none"/>
        </w:rPr>
      </w:pPr>
    </w:p>
    <w:p w14:paraId="4C54729D">
      <w:pPr>
        <w:pStyle w:val="3"/>
        <w:spacing w:line="253" w:lineRule="auto"/>
        <w:rPr>
          <w:highlight w:val="none"/>
        </w:rPr>
      </w:pPr>
    </w:p>
    <w:p w14:paraId="21E3B994">
      <w:pPr>
        <w:pStyle w:val="3"/>
        <w:spacing w:line="253" w:lineRule="auto"/>
        <w:rPr>
          <w:highlight w:val="none"/>
        </w:rPr>
      </w:pPr>
    </w:p>
    <w:p w14:paraId="0A34C78A">
      <w:pPr>
        <w:spacing w:before="103" w:line="194" w:lineRule="auto"/>
        <w:ind w:left="20"/>
        <w:outlineLvl w:val="0"/>
        <w:rPr>
          <w:rFonts w:ascii="微软雅黑" w:hAnsi="微软雅黑" w:eastAsia="微软雅黑" w:cs="微软雅黑"/>
          <w:sz w:val="24"/>
          <w:szCs w:val="24"/>
          <w:highlight w:val="none"/>
        </w:rPr>
      </w:pPr>
      <w:bookmarkStart w:id="11" w:name="bookmark12"/>
      <w:bookmarkEnd w:id="11"/>
      <w:r>
        <w:rPr>
          <w:rFonts w:ascii="微软雅黑" w:hAnsi="微软雅黑" w:eastAsia="微软雅黑" w:cs="微软雅黑"/>
          <w:b/>
          <w:bCs/>
          <w:spacing w:val="-2"/>
          <w:sz w:val="24"/>
          <w:szCs w:val="24"/>
          <w:highlight w:val="none"/>
        </w:rPr>
        <w:t>1、职业健康与安全管理体系</w:t>
      </w:r>
    </w:p>
    <w:p w14:paraId="6C92C3C7">
      <w:pPr>
        <w:pStyle w:val="3"/>
        <w:spacing w:line="338" w:lineRule="auto"/>
        <w:rPr>
          <w:highlight w:val="none"/>
        </w:rPr>
      </w:pPr>
    </w:p>
    <w:p w14:paraId="3A4F4C95">
      <w:pPr>
        <w:spacing w:before="103" w:line="225" w:lineRule="auto"/>
        <w:ind w:left="1" w:right="6" w:firstLine="480"/>
        <w:jc w:val="both"/>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公司依据</w:t>
      </w:r>
      <w:r>
        <w:rPr>
          <w:rFonts w:hint="eastAsia" w:ascii="微软雅黑" w:hAnsi="微软雅黑" w:eastAsia="微软雅黑" w:cs="微软雅黑"/>
          <w:spacing w:val="-2"/>
          <w:sz w:val="24"/>
          <w:szCs w:val="24"/>
          <w:highlight w:val="none"/>
          <w:lang w:val="en-US" w:eastAsia="zh-CN"/>
        </w:rPr>
        <w:t xml:space="preserve"> </w:t>
      </w:r>
      <w:r>
        <w:rPr>
          <w:rFonts w:ascii="微软雅黑" w:hAnsi="微软雅黑" w:eastAsia="微软雅黑" w:cs="微软雅黑"/>
          <w:spacing w:val="-2"/>
          <w:sz w:val="24"/>
          <w:szCs w:val="24"/>
          <w:highlight w:val="none"/>
        </w:rPr>
        <w:t>ISO</w:t>
      </w:r>
      <w:r>
        <w:rPr>
          <w:rFonts w:hint="eastAsia" w:ascii="微软雅黑" w:hAnsi="微软雅黑" w:eastAsia="微软雅黑" w:cs="微软雅黑"/>
          <w:spacing w:val="-2"/>
          <w:sz w:val="24"/>
          <w:szCs w:val="24"/>
          <w:highlight w:val="none"/>
          <w:lang w:val="en-US" w:eastAsia="zh-CN"/>
        </w:rPr>
        <w:t xml:space="preserve"> </w:t>
      </w:r>
      <w:r>
        <w:rPr>
          <w:rFonts w:ascii="微软雅黑" w:hAnsi="微软雅黑" w:eastAsia="微软雅黑" w:cs="微软雅黑"/>
          <w:spacing w:val="-2"/>
          <w:sz w:val="24"/>
          <w:szCs w:val="24"/>
          <w:highlight w:val="none"/>
        </w:rPr>
        <w:t>45001:2018(GB/T45001-2020)标准，建立了职业健康与安全管理体系。</w:t>
      </w:r>
      <w:r>
        <w:rPr>
          <w:rFonts w:ascii="微软雅黑" w:hAnsi="微软雅黑" w:eastAsia="微软雅黑" w:cs="微软雅黑"/>
          <w:spacing w:val="-3"/>
          <w:sz w:val="24"/>
          <w:szCs w:val="24"/>
          <w:highlight w:val="none"/>
        </w:rPr>
        <w:t>公司的职业健康与安全管理体系覆盖了公司所有员工以及为公司工作</w:t>
      </w:r>
      <w:r>
        <w:rPr>
          <w:rFonts w:ascii="微软雅黑" w:hAnsi="微软雅黑" w:eastAsia="微软雅黑" w:cs="微软雅黑"/>
          <w:spacing w:val="-4"/>
          <w:sz w:val="24"/>
          <w:szCs w:val="24"/>
          <w:highlight w:val="none"/>
        </w:rPr>
        <w:t>的人员(如：承包商)，也覆</w:t>
      </w:r>
      <w:r>
        <w:rPr>
          <w:rFonts w:ascii="微软雅黑" w:hAnsi="微软雅黑" w:eastAsia="微软雅黑" w:cs="微软雅黑"/>
          <w:spacing w:val="-1"/>
          <w:sz w:val="24"/>
          <w:szCs w:val="24"/>
          <w:highlight w:val="none"/>
        </w:rPr>
        <w:t>盖了公司所有的活动和工作场所范围。</w:t>
      </w:r>
    </w:p>
    <w:p w14:paraId="33E59029">
      <w:pPr>
        <w:spacing w:before="78" w:line="217" w:lineRule="auto"/>
        <w:ind w:left="3" w:right="47" w:firstLine="478"/>
        <w:jc w:val="both"/>
        <w:rPr>
          <w:rFonts w:ascii="微软雅黑" w:hAnsi="微软雅黑" w:eastAsia="微软雅黑" w:cs="微软雅黑"/>
          <w:sz w:val="24"/>
          <w:szCs w:val="24"/>
          <w:highlight w:val="none"/>
        </w:rPr>
      </w:pPr>
      <w:r>
        <w:rPr>
          <w:rFonts w:ascii="微软雅黑" w:hAnsi="微软雅黑" w:eastAsia="微软雅黑" w:cs="微软雅黑"/>
          <w:spacing w:val="-7"/>
          <w:sz w:val="24"/>
          <w:szCs w:val="24"/>
          <w:highlight w:val="none"/>
        </w:rPr>
        <w:t>公司在建立和实施职业健康与安全管理体系中，安环部、</w:t>
      </w:r>
      <w:r>
        <w:rPr>
          <w:rFonts w:hint="eastAsia" w:ascii="微软雅黑" w:hAnsi="微软雅黑" w:eastAsia="微软雅黑" w:cs="微软雅黑"/>
          <w:spacing w:val="-7"/>
          <w:sz w:val="24"/>
          <w:szCs w:val="24"/>
          <w:highlight w:val="none"/>
          <w:lang w:eastAsia="zh-CN"/>
        </w:rPr>
        <w:t>综合行政部</w:t>
      </w:r>
      <w:r>
        <w:rPr>
          <w:rFonts w:ascii="微软雅黑" w:hAnsi="微软雅黑" w:eastAsia="微软雅黑" w:cs="微软雅黑"/>
          <w:spacing w:val="-8"/>
          <w:sz w:val="24"/>
          <w:szCs w:val="24"/>
          <w:highlight w:val="none"/>
        </w:rPr>
        <w:t>共识别了</w:t>
      </w:r>
      <w:r>
        <w:rPr>
          <w:rFonts w:hint="eastAsia" w:ascii="微软雅黑" w:hAnsi="微软雅黑" w:eastAsia="微软雅黑" w:cs="微软雅黑"/>
          <w:spacing w:val="-8"/>
          <w:sz w:val="24"/>
          <w:szCs w:val="24"/>
          <w:highlight w:val="none"/>
          <w:lang w:val="en-US" w:eastAsia="zh-CN"/>
        </w:rPr>
        <w:t>97</w:t>
      </w:r>
      <w:r>
        <w:rPr>
          <w:rFonts w:ascii="微软雅黑" w:hAnsi="微软雅黑" w:eastAsia="微软雅黑" w:cs="微软雅黑"/>
          <w:spacing w:val="-8"/>
          <w:sz w:val="24"/>
          <w:szCs w:val="24"/>
          <w:highlight w:val="none"/>
        </w:rPr>
        <w:t>个法律法规，</w:t>
      </w:r>
      <w:r>
        <w:rPr>
          <w:rFonts w:ascii="微软雅黑" w:hAnsi="微软雅黑" w:eastAsia="微软雅黑" w:cs="微软雅黑"/>
          <w:spacing w:val="-2"/>
          <w:sz w:val="24"/>
          <w:szCs w:val="24"/>
          <w:highlight w:val="none"/>
        </w:rPr>
        <w:t>并对这些公约、法律法规、标准进行了合规</w:t>
      </w:r>
      <w:r>
        <w:rPr>
          <w:rFonts w:ascii="微软雅黑" w:hAnsi="微软雅黑" w:eastAsia="微软雅黑" w:cs="微软雅黑"/>
          <w:spacing w:val="-3"/>
          <w:sz w:val="24"/>
          <w:szCs w:val="24"/>
          <w:highlight w:val="none"/>
        </w:rPr>
        <w:t>性评价。</w:t>
      </w:r>
    </w:p>
    <w:p w14:paraId="18AD44C4">
      <w:pPr>
        <w:spacing w:before="77" w:line="225" w:lineRule="auto"/>
        <w:ind w:left="19" w:right="2" w:firstLine="461"/>
        <w:jc w:val="both"/>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公司在建立和实施职业健康与安全管理体系中，</w:t>
      </w:r>
      <w:r>
        <w:rPr>
          <w:rFonts w:ascii="微软雅黑" w:hAnsi="微软雅黑" w:eastAsia="微软雅黑" w:cs="微软雅黑"/>
          <w:sz w:val="24"/>
          <w:szCs w:val="24"/>
          <w:highlight w:val="none"/>
        </w:rPr>
        <w:t>安环部、</w:t>
      </w:r>
      <w:r>
        <w:rPr>
          <w:rFonts w:hint="eastAsia" w:ascii="微软雅黑" w:hAnsi="微软雅黑" w:eastAsia="微软雅黑" w:cs="微软雅黑"/>
          <w:sz w:val="24"/>
          <w:szCs w:val="24"/>
          <w:highlight w:val="none"/>
          <w:lang w:val="en-US" w:eastAsia="zh-CN"/>
        </w:rPr>
        <w:t>综合行政部</w:t>
      </w:r>
      <w:r>
        <w:rPr>
          <w:rFonts w:ascii="微软雅黑" w:hAnsi="微软雅黑" w:eastAsia="微软雅黑" w:cs="微软雅黑"/>
          <w:sz w:val="24"/>
          <w:szCs w:val="24"/>
          <w:highlight w:val="none"/>
        </w:rPr>
        <w:t>、体系</w:t>
      </w:r>
      <w:r>
        <w:rPr>
          <w:rFonts w:hint="eastAsia" w:ascii="微软雅黑" w:hAnsi="微软雅黑" w:eastAsia="微软雅黑" w:cs="微软雅黑"/>
          <w:sz w:val="24"/>
          <w:szCs w:val="24"/>
          <w:highlight w:val="none"/>
          <w:lang w:val="en-US" w:eastAsia="zh-CN"/>
        </w:rPr>
        <w:t>组</w:t>
      </w:r>
      <w:r>
        <w:rPr>
          <w:rFonts w:ascii="微软雅黑" w:hAnsi="微软雅黑" w:eastAsia="微软雅黑" w:cs="微软雅黑"/>
          <w:sz w:val="24"/>
          <w:szCs w:val="24"/>
          <w:highlight w:val="none"/>
        </w:rPr>
        <w:t>等部门共编制了</w:t>
      </w:r>
      <w:r>
        <w:rPr>
          <w:rFonts w:ascii="微软雅黑" w:hAnsi="微软雅黑" w:eastAsia="微软雅黑" w:cs="微软雅黑"/>
          <w:spacing w:val="-11"/>
          <w:sz w:val="24"/>
          <w:szCs w:val="24"/>
          <w:highlight w:val="none"/>
        </w:rPr>
        <w:t>1份</w:t>
      </w:r>
      <w:r>
        <w:rPr>
          <w:rFonts w:hint="eastAsia" w:ascii="微软雅黑" w:hAnsi="微软雅黑" w:eastAsia="微软雅黑" w:cs="微软雅黑"/>
          <w:spacing w:val="-11"/>
          <w:sz w:val="24"/>
          <w:szCs w:val="24"/>
          <w:highlight w:val="none"/>
          <w:lang w:val="en-US" w:eastAsia="zh-CN"/>
        </w:rPr>
        <w:t>管理</w:t>
      </w:r>
      <w:r>
        <w:rPr>
          <w:rFonts w:ascii="微软雅黑" w:hAnsi="微软雅黑" w:eastAsia="微软雅黑" w:cs="微软雅黑"/>
          <w:spacing w:val="-10"/>
          <w:sz w:val="24"/>
          <w:szCs w:val="24"/>
          <w:highlight w:val="none"/>
        </w:rPr>
        <w:t>手册、</w:t>
      </w:r>
      <w:r>
        <w:rPr>
          <w:rFonts w:hint="eastAsia" w:ascii="微软雅黑" w:hAnsi="微软雅黑" w:eastAsia="微软雅黑" w:cs="微软雅黑"/>
          <w:spacing w:val="-10"/>
          <w:sz w:val="24"/>
          <w:szCs w:val="24"/>
          <w:highlight w:val="none"/>
          <w:lang w:val="en-US" w:eastAsia="zh-CN"/>
        </w:rPr>
        <w:t>35</w:t>
      </w:r>
      <w:r>
        <w:rPr>
          <w:rFonts w:ascii="微软雅黑" w:hAnsi="微软雅黑" w:eastAsia="微软雅黑" w:cs="微软雅黑"/>
          <w:spacing w:val="-10"/>
          <w:sz w:val="24"/>
          <w:szCs w:val="24"/>
          <w:highlight w:val="none"/>
        </w:rPr>
        <w:t>个程序文件</w:t>
      </w:r>
      <w:r>
        <w:rPr>
          <w:rFonts w:ascii="微软雅黑" w:hAnsi="微软雅黑" w:eastAsia="微软雅黑" w:cs="微软雅黑"/>
          <w:color w:val="auto"/>
          <w:spacing w:val="-10"/>
          <w:sz w:val="24"/>
          <w:szCs w:val="24"/>
          <w:highlight w:val="none"/>
        </w:rPr>
        <w:t>、</w:t>
      </w:r>
      <w:r>
        <w:rPr>
          <w:rFonts w:hint="eastAsia" w:ascii="微软雅黑" w:hAnsi="微软雅黑" w:eastAsia="微软雅黑" w:cs="微软雅黑"/>
          <w:color w:val="auto"/>
          <w:spacing w:val="-10"/>
          <w:sz w:val="24"/>
          <w:szCs w:val="24"/>
          <w:highlight w:val="none"/>
          <w:lang w:val="en-US" w:eastAsia="zh-CN"/>
        </w:rPr>
        <w:t>201</w:t>
      </w:r>
      <w:r>
        <w:rPr>
          <w:rFonts w:ascii="微软雅黑" w:hAnsi="微软雅黑" w:eastAsia="微软雅黑" w:cs="微软雅黑"/>
          <w:spacing w:val="-10"/>
          <w:sz w:val="24"/>
          <w:szCs w:val="24"/>
          <w:highlight w:val="none"/>
        </w:rPr>
        <w:t>个作业指导书/作业</w:t>
      </w:r>
      <w:r>
        <w:rPr>
          <w:rFonts w:hint="eastAsia" w:ascii="微软雅黑" w:hAnsi="微软雅黑" w:eastAsia="微软雅黑" w:cs="微软雅黑"/>
          <w:spacing w:val="-10"/>
          <w:sz w:val="24"/>
          <w:szCs w:val="24"/>
          <w:highlight w:val="none"/>
          <w:lang w:val="en-US" w:eastAsia="zh-CN"/>
        </w:rPr>
        <w:t>规范。</w:t>
      </w:r>
      <w:r>
        <w:rPr>
          <w:rFonts w:ascii="微软雅黑" w:hAnsi="微软雅黑" w:eastAsia="微软雅黑" w:cs="微软雅黑"/>
          <w:spacing w:val="-10"/>
          <w:sz w:val="24"/>
          <w:szCs w:val="24"/>
          <w:highlight w:val="none"/>
        </w:rPr>
        <w:t>如有变更，</w:t>
      </w:r>
      <w:r>
        <w:rPr>
          <w:rFonts w:hint="eastAsia" w:ascii="微软雅黑" w:hAnsi="微软雅黑" w:eastAsia="微软雅黑" w:cs="微软雅黑"/>
          <w:spacing w:val="-10"/>
          <w:sz w:val="24"/>
          <w:szCs w:val="24"/>
          <w:highlight w:val="none"/>
          <w:lang w:eastAsia="zh-CN"/>
        </w:rPr>
        <w:t>体系</w:t>
      </w:r>
      <w:r>
        <w:rPr>
          <w:rFonts w:hint="eastAsia" w:ascii="微软雅黑" w:hAnsi="微软雅黑" w:eastAsia="微软雅黑" w:cs="微软雅黑"/>
          <w:spacing w:val="-10"/>
          <w:sz w:val="24"/>
          <w:szCs w:val="24"/>
          <w:highlight w:val="none"/>
          <w:lang w:val="en-US" w:eastAsia="zh-CN"/>
        </w:rPr>
        <w:t>组</w:t>
      </w:r>
      <w:r>
        <w:rPr>
          <w:rFonts w:ascii="微软雅黑" w:hAnsi="微软雅黑" w:eastAsia="微软雅黑" w:cs="微软雅黑"/>
          <w:spacing w:val="-10"/>
          <w:sz w:val="24"/>
          <w:szCs w:val="24"/>
          <w:highlight w:val="none"/>
        </w:rPr>
        <w:t>会及时联合相关</w:t>
      </w:r>
      <w:r>
        <w:rPr>
          <w:rFonts w:ascii="微软雅黑" w:hAnsi="微软雅黑" w:eastAsia="微软雅黑" w:cs="微软雅黑"/>
          <w:spacing w:val="-7"/>
          <w:sz w:val="24"/>
          <w:szCs w:val="24"/>
          <w:highlight w:val="none"/>
        </w:rPr>
        <w:t>部</w:t>
      </w:r>
      <w:r>
        <w:rPr>
          <w:rFonts w:ascii="微软雅黑" w:hAnsi="微软雅黑" w:eastAsia="微软雅黑" w:cs="微软雅黑"/>
          <w:spacing w:val="-5"/>
          <w:sz w:val="24"/>
          <w:szCs w:val="24"/>
          <w:highlight w:val="none"/>
        </w:rPr>
        <w:t>门对这些文件进行评审和修改。</w:t>
      </w:r>
    </w:p>
    <w:p w14:paraId="123AF1D9">
      <w:pPr>
        <w:spacing w:before="79" w:line="217" w:lineRule="auto"/>
        <w:ind w:left="1" w:right="50" w:firstLine="479"/>
        <w:jc w:val="both"/>
        <w:rPr>
          <w:rFonts w:ascii="微软雅黑" w:hAnsi="微软雅黑" w:eastAsia="微软雅黑" w:cs="微软雅黑"/>
          <w:sz w:val="24"/>
          <w:szCs w:val="24"/>
          <w:highlight w:val="none"/>
        </w:rPr>
      </w:pPr>
      <w:r>
        <w:rPr>
          <w:rFonts w:ascii="微软雅黑" w:hAnsi="微软雅黑" w:eastAsia="微软雅黑" w:cs="微软雅黑"/>
          <w:spacing w:val="-7"/>
          <w:sz w:val="24"/>
          <w:szCs w:val="24"/>
          <w:highlight w:val="none"/>
        </w:rPr>
        <w:t>公司在建立和实施职业健康与安全管理体系中，识别出</w:t>
      </w:r>
      <w:r>
        <w:rPr>
          <w:rFonts w:hint="eastAsia" w:ascii="微软雅黑" w:hAnsi="微软雅黑" w:eastAsia="微软雅黑" w:cs="微软雅黑"/>
          <w:spacing w:val="-7"/>
          <w:sz w:val="24"/>
          <w:szCs w:val="24"/>
          <w:highlight w:val="none"/>
          <w:lang w:val="en-US" w:eastAsia="zh-CN"/>
        </w:rPr>
        <w:t>6</w:t>
      </w:r>
      <w:r>
        <w:rPr>
          <w:rFonts w:ascii="微软雅黑" w:hAnsi="微软雅黑" w:eastAsia="微软雅黑" w:cs="微软雅黑"/>
          <w:spacing w:val="-8"/>
          <w:sz w:val="24"/>
          <w:szCs w:val="24"/>
          <w:highlight w:val="none"/>
        </w:rPr>
        <w:t>个重大危险源，针对</w:t>
      </w:r>
      <w:r>
        <w:rPr>
          <w:rFonts w:hint="eastAsia" w:ascii="微软雅黑" w:hAnsi="微软雅黑" w:eastAsia="微软雅黑" w:cs="微软雅黑"/>
          <w:spacing w:val="-8"/>
          <w:sz w:val="24"/>
          <w:szCs w:val="24"/>
          <w:highlight w:val="none"/>
          <w:lang w:eastAsia="zh-CN"/>
        </w:rPr>
        <w:t>发现的</w:t>
      </w:r>
      <w:r>
        <w:rPr>
          <w:rFonts w:ascii="微软雅黑" w:hAnsi="微软雅黑" w:eastAsia="微软雅黑" w:cs="微软雅黑"/>
          <w:spacing w:val="-8"/>
          <w:sz w:val="24"/>
          <w:szCs w:val="24"/>
          <w:highlight w:val="none"/>
        </w:rPr>
        <w:t>重大危险源，</w:t>
      </w:r>
      <w:r>
        <w:rPr>
          <w:rFonts w:ascii="微软雅黑" w:hAnsi="微软雅黑" w:eastAsia="微软雅黑" w:cs="微软雅黑"/>
          <w:spacing w:val="-2"/>
          <w:sz w:val="24"/>
          <w:szCs w:val="24"/>
          <w:highlight w:val="none"/>
        </w:rPr>
        <w:t>相关部门编制了《</w:t>
      </w:r>
      <w:r>
        <w:rPr>
          <w:rFonts w:hint="eastAsia" w:ascii="微软雅黑" w:hAnsi="微软雅黑" w:eastAsia="微软雅黑" w:cs="微软雅黑"/>
          <w:spacing w:val="-2"/>
          <w:sz w:val="24"/>
          <w:szCs w:val="24"/>
          <w:highlight w:val="none"/>
        </w:rPr>
        <w:t>危险源识别、风险评价和风险控制程序</w:t>
      </w:r>
      <w:r>
        <w:rPr>
          <w:rFonts w:ascii="微软雅黑" w:hAnsi="微软雅黑" w:eastAsia="微软雅黑" w:cs="微软雅黑"/>
          <w:spacing w:val="-2"/>
          <w:sz w:val="24"/>
          <w:szCs w:val="24"/>
          <w:highlight w:val="none"/>
        </w:rPr>
        <w:t>》进行严格管理。</w:t>
      </w:r>
    </w:p>
    <w:p w14:paraId="4930D274">
      <w:pPr>
        <w:spacing w:before="79" w:line="217" w:lineRule="auto"/>
        <w:ind w:left="1" w:right="50" w:firstLine="479"/>
        <w:jc w:val="both"/>
        <w:rPr>
          <w:rFonts w:ascii="微软雅黑" w:hAnsi="微软雅黑" w:eastAsia="微软雅黑" w:cs="微软雅黑"/>
          <w:sz w:val="24"/>
          <w:szCs w:val="24"/>
          <w:highlight w:val="none"/>
        </w:rPr>
      </w:pPr>
      <w:r>
        <w:rPr>
          <w:rFonts w:ascii="微软雅黑" w:hAnsi="微软雅黑" w:eastAsia="微软雅黑" w:cs="微软雅黑"/>
          <w:spacing w:val="-7"/>
          <w:sz w:val="24"/>
          <w:szCs w:val="24"/>
          <w:highlight w:val="none"/>
        </w:rPr>
        <w:t>在202</w:t>
      </w:r>
      <w:r>
        <w:rPr>
          <w:rFonts w:hint="eastAsia" w:ascii="微软雅黑" w:hAnsi="微软雅黑" w:eastAsia="微软雅黑" w:cs="微软雅黑"/>
          <w:spacing w:val="-7"/>
          <w:sz w:val="24"/>
          <w:szCs w:val="24"/>
          <w:highlight w:val="none"/>
          <w:lang w:val="en-US" w:eastAsia="zh-CN"/>
        </w:rPr>
        <w:t>3</w:t>
      </w:r>
      <w:r>
        <w:rPr>
          <w:rFonts w:ascii="微软雅黑" w:hAnsi="微软雅黑" w:eastAsia="微软雅黑" w:cs="微软雅黑"/>
          <w:spacing w:val="-7"/>
          <w:sz w:val="24"/>
          <w:szCs w:val="24"/>
          <w:highlight w:val="none"/>
        </w:rPr>
        <w:t>年</w:t>
      </w:r>
      <w:r>
        <w:rPr>
          <w:rFonts w:hint="eastAsia" w:ascii="微软雅黑" w:hAnsi="微软雅黑" w:eastAsia="微软雅黑" w:cs="微软雅黑"/>
          <w:spacing w:val="-7"/>
          <w:sz w:val="24"/>
          <w:szCs w:val="24"/>
          <w:highlight w:val="none"/>
          <w:lang w:val="en-US" w:eastAsia="zh-CN"/>
        </w:rPr>
        <w:t>6</w:t>
      </w:r>
      <w:r>
        <w:rPr>
          <w:rFonts w:ascii="微软雅黑" w:hAnsi="微软雅黑" w:eastAsia="微软雅黑" w:cs="微软雅黑"/>
          <w:spacing w:val="-7"/>
          <w:sz w:val="24"/>
          <w:szCs w:val="24"/>
          <w:highlight w:val="none"/>
        </w:rPr>
        <w:t>月，独立第三方认证机构(</w:t>
      </w:r>
      <w:r>
        <w:rPr>
          <w:rFonts w:hint="default" w:ascii="微软雅黑" w:hAnsi="微软雅黑" w:eastAsia="微软雅黑" w:cs="微软雅黑"/>
          <w:spacing w:val="-7"/>
          <w:sz w:val="24"/>
          <w:szCs w:val="24"/>
          <w:highlight w:val="none"/>
        </w:rPr>
        <w:t>北京</w:t>
      </w:r>
      <w:r>
        <w:rPr>
          <w:rFonts w:hint="eastAsia" w:ascii="微软雅黑" w:hAnsi="微软雅黑" w:eastAsia="微软雅黑" w:cs="微软雅黑"/>
          <w:spacing w:val="-7"/>
          <w:sz w:val="24"/>
          <w:szCs w:val="24"/>
          <w:highlight w:val="none"/>
          <w:lang w:val="en-US" w:eastAsia="zh-CN"/>
        </w:rPr>
        <w:t>恩格威</w:t>
      </w:r>
      <w:r>
        <w:rPr>
          <w:rFonts w:hint="default" w:ascii="微软雅黑" w:hAnsi="微软雅黑" w:eastAsia="微软雅黑" w:cs="微软雅黑"/>
          <w:spacing w:val="-7"/>
          <w:sz w:val="24"/>
          <w:szCs w:val="24"/>
          <w:highlight w:val="none"/>
        </w:rPr>
        <w:t>认证中心</w:t>
      </w:r>
      <w:r>
        <w:rPr>
          <w:rFonts w:ascii="微软雅黑" w:hAnsi="微软雅黑" w:eastAsia="微软雅黑" w:cs="微软雅黑"/>
          <w:spacing w:val="-1"/>
          <w:sz w:val="24"/>
          <w:szCs w:val="24"/>
          <w:highlight w:val="none"/>
        </w:rPr>
        <w:t>)对公司</w:t>
      </w:r>
      <w:r>
        <w:rPr>
          <w:rFonts w:hint="eastAsia" w:ascii="微软雅黑" w:hAnsi="微软雅黑" w:eastAsia="微软雅黑" w:cs="微软雅黑"/>
          <w:spacing w:val="-1"/>
          <w:sz w:val="24"/>
          <w:szCs w:val="24"/>
          <w:highlight w:val="none"/>
          <w:lang w:val="en-US" w:eastAsia="zh-CN"/>
        </w:rPr>
        <w:t xml:space="preserve"> </w:t>
      </w:r>
      <w:r>
        <w:rPr>
          <w:rFonts w:ascii="微软雅黑" w:hAnsi="微软雅黑" w:eastAsia="微软雅黑" w:cs="微软雅黑"/>
          <w:spacing w:val="-1"/>
          <w:sz w:val="24"/>
          <w:szCs w:val="24"/>
          <w:highlight w:val="none"/>
        </w:rPr>
        <w:t>ISO</w:t>
      </w:r>
      <w:r>
        <w:rPr>
          <w:rFonts w:hint="eastAsia" w:ascii="微软雅黑" w:hAnsi="微软雅黑" w:eastAsia="微软雅黑" w:cs="微软雅黑"/>
          <w:spacing w:val="-1"/>
          <w:sz w:val="24"/>
          <w:szCs w:val="24"/>
          <w:highlight w:val="none"/>
          <w:lang w:val="en-US" w:eastAsia="zh-CN"/>
        </w:rPr>
        <w:t xml:space="preserve"> </w:t>
      </w:r>
      <w:r>
        <w:rPr>
          <w:rFonts w:ascii="微软雅黑" w:hAnsi="微软雅黑" w:eastAsia="微软雅黑" w:cs="微软雅黑"/>
          <w:spacing w:val="-1"/>
          <w:sz w:val="24"/>
          <w:szCs w:val="24"/>
          <w:highlight w:val="none"/>
        </w:rPr>
        <w:t>45001管</w:t>
      </w:r>
      <w:r>
        <w:rPr>
          <w:rFonts w:ascii="微软雅黑" w:hAnsi="微软雅黑" w:eastAsia="微软雅黑" w:cs="微软雅黑"/>
          <w:spacing w:val="-2"/>
          <w:sz w:val="24"/>
          <w:szCs w:val="24"/>
          <w:highlight w:val="none"/>
        </w:rPr>
        <w:t>理体系进行了监督审核，共发现</w:t>
      </w:r>
      <w:r>
        <w:rPr>
          <w:rFonts w:hint="eastAsia" w:ascii="微软雅黑" w:hAnsi="微软雅黑" w:eastAsia="微软雅黑" w:cs="微软雅黑"/>
          <w:spacing w:val="-2"/>
          <w:sz w:val="24"/>
          <w:szCs w:val="24"/>
          <w:highlight w:val="none"/>
          <w:lang w:val="en-US" w:eastAsia="zh-CN"/>
        </w:rPr>
        <w:t>1</w:t>
      </w:r>
      <w:r>
        <w:rPr>
          <w:rFonts w:ascii="微软雅黑" w:hAnsi="微软雅黑" w:eastAsia="微软雅黑" w:cs="微软雅黑"/>
          <w:spacing w:val="-2"/>
          <w:sz w:val="24"/>
          <w:szCs w:val="24"/>
          <w:highlight w:val="none"/>
        </w:rPr>
        <w:t>个不符合，相关部门进行了整改闭环。</w:t>
      </w:r>
    </w:p>
    <w:p w14:paraId="51E8204C">
      <w:pPr>
        <w:spacing w:line="3011" w:lineRule="exact"/>
        <w:ind w:firstLine="419"/>
        <w:rPr>
          <w:highlight w:val="none"/>
        </w:rPr>
      </w:pPr>
      <w:r>
        <w:rPr>
          <w:position w:val="-60"/>
          <w:highlight w:val="none"/>
        </w:rPr>
        <w:drawing>
          <wp:inline distT="0" distB="0" distL="0" distR="0">
            <wp:extent cx="5120640" cy="191135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2"/>
                    <a:stretch>
                      <a:fillRect/>
                    </a:stretch>
                  </pic:blipFill>
                  <pic:spPr>
                    <a:xfrm>
                      <a:off x="0" y="0"/>
                      <a:ext cx="5120640" cy="1911857"/>
                    </a:xfrm>
                    <a:prstGeom prst="rect">
                      <a:avLst/>
                    </a:prstGeom>
                  </pic:spPr>
                </pic:pic>
              </a:graphicData>
            </a:graphic>
          </wp:inline>
        </w:drawing>
      </w:r>
    </w:p>
    <w:p w14:paraId="742142B2">
      <w:pPr>
        <w:pStyle w:val="3"/>
        <w:spacing w:line="371" w:lineRule="auto"/>
        <w:rPr>
          <w:highlight w:val="none"/>
        </w:rPr>
      </w:pPr>
    </w:p>
    <w:p w14:paraId="6D9BD88D">
      <w:pPr>
        <w:pStyle w:val="3"/>
        <w:spacing w:line="371" w:lineRule="auto"/>
        <w:rPr>
          <w:highlight w:val="none"/>
        </w:rPr>
      </w:pPr>
    </w:p>
    <w:p w14:paraId="1E616248">
      <w:pPr>
        <w:pStyle w:val="3"/>
        <w:spacing w:line="371" w:lineRule="auto"/>
        <w:rPr>
          <w:highlight w:val="none"/>
        </w:rPr>
      </w:pPr>
    </w:p>
    <w:p w14:paraId="50B36F8A">
      <w:pPr>
        <w:pStyle w:val="3"/>
        <w:spacing w:line="371" w:lineRule="auto"/>
        <w:rPr>
          <w:highlight w:val="none"/>
        </w:rPr>
      </w:pPr>
    </w:p>
    <w:p w14:paraId="34A0E5EC">
      <w:pPr>
        <w:spacing w:before="104" w:line="193" w:lineRule="auto"/>
        <w:ind w:left="10"/>
        <w:outlineLvl w:val="0"/>
        <w:rPr>
          <w:rFonts w:ascii="微软雅黑" w:hAnsi="微软雅黑" w:eastAsia="微软雅黑" w:cs="微软雅黑"/>
          <w:sz w:val="24"/>
          <w:szCs w:val="24"/>
          <w:highlight w:val="none"/>
        </w:rPr>
      </w:pPr>
      <w:bookmarkStart w:id="12" w:name="bookmark13"/>
      <w:bookmarkEnd w:id="12"/>
      <w:r>
        <w:rPr>
          <w:rFonts w:ascii="微软雅黑" w:hAnsi="微软雅黑" w:eastAsia="微软雅黑" w:cs="微软雅黑"/>
          <w:b/>
          <w:bCs/>
          <w:spacing w:val="-1"/>
          <w:sz w:val="24"/>
          <w:szCs w:val="24"/>
          <w:highlight w:val="none"/>
        </w:rPr>
        <w:t>2、危害识别、风险评估和事故调查</w:t>
      </w:r>
    </w:p>
    <w:p w14:paraId="10A99246">
      <w:pPr>
        <w:keepNext w:val="0"/>
        <w:keepLines/>
        <w:pageBreakBefore w:val="0"/>
        <w:widowControl/>
        <w:kinsoku/>
        <w:wordWrap/>
        <w:overflowPunct w:val="0"/>
        <w:topLinePunct w:val="0"/>
        <w:autoSpaceDE w:val="0"/>
        <w:autoSpaceDN w:val="0"/>
        <w:bidi w:val="0"/>
        <w:adjustRightInd w:val="0"/>
        <w:snapToGrid w:val="0"/>
        <w:spacing w:before="103" w:line="240" w:lineRule="auto"/>
        <w:ind w:right="6" w:firstLine="476" w:firstLineChars="200"/>
        <w:jc w:val="both"/>
        <w:textAlignment w:val="baseline"/>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公司安环部依据</w:t>
      </w:r>
      <w:r>
        <w:rPr>
          <w:rFonts w:ascii="微软雅黑" w:hAnsi="微软雅黑" w:eastAsia="微软雅黑" w:cs="微软雅黑"/>
          <w:spacing w:val="-2"/>
          <w:sz w:val="24"/>
          <w:szCs w:val="24"/>
          <w:highlight w:val="none"/>
        </w:rPr>
        <w:t>《</w:t>
      </w:r>
      <w:r>
        <w:rPr>
          <w:rFonts w:hint="eastAsia" w:ascii="微软雅黑" w:hAnsi="微软雅黑" w:eastAsia="微软雅黑" w:cs="微软雅黑"/>
          <w:spacing w:val="-2"/>
          <w:sz w:val="24"/>
          <w:szCs w:val="24"/>
          <w:highlight w:val="none"/>
        </w:rPr>
        <w:t>危险源识别、风险评价和风险控制程序</w:t>
      </w:r>
      <w:r>
        <w:rPr>
          <w:rFonts w:ascii="微软雅黑" w:hAnsi="微软雅黑" w:eastAsia="微软雅黑" w:cs="微软雅黑"/>
          <w:spacing w:val="-2"/>
          <w:sz w:val="24"/>
          <w:szCs w:val="24"/>
          <w:highlight w:val="none"/>
        </w:rPr>
        <w:t>》每年定期(当体系发生重大变更或</w:t>
      </w:r>
      <w:r>
        <w:rPr>
          <w:rFonts w:hint="eastAsia" w:ascii="微软雅黑" w:hAnsi="微软雅黑" w:eastAsia="微软雅黑" w:cs="微软雅黑"/>
          <w:spacing w:val="-2"/>
          <w:sz w:val="24"/>
          <w:szCs w:val="24"/>
          <w:highlight w:val="none"/>
          <w:lang w:val="en-US" w:eastAsia="zh-CN"/>
        </w:rPr>
        <w:t>出</w:t>
      </w:r>
      <w:r>
        <w:rPr>
          <w:rFonts w:ascii="微软雅黑" w:hAnsi="微软雅黑" w:eastAsia="微软雅黑" w:cs="微软雅黑"/>
          <w:spacing w:val="-8"/>
          <w:sz w:val="24"/>
          <w:szCs w:val="24"/>
          <w:highlight w:val="none"/>
        </w:rPr>
        <w:t>现</w:t>
      </w:r>
      <w:r>
        <w:rPr>
          <w:rFonts w:ascii="微软雅黑" w:hAnsi="微软雅黑" w:eastAsia="微软雅黑" w:cs="微软雅黑"/>
          <w:spacing w:val="-7"/>
          <w:sz w:val="24"/>
          <w:szCs w:val="24"/>
          <w:highlight w:val="none"/>
        </w:rPr>
        <w:t>严重缺陷时，会额外增加频次)组织危险源识别和评价，在202</w:t>
      </w:r>
      <w:r>
        <w:rPr>
          <w:rFonts w:hint="eastAsia" w:ascii="微软雅黑" w:hAnsi="微软雅黑" w:eastAsia="微软雅黑" w:cs="微软雅黑"/>
          <w:spacing w:val="-7"/>
          <w:sz w:val="24"/>
          <w:szCs w:val="24"/>
          <w:highlight w:val="none"/>
          <w:lang w:val="en-US" w:eastAsia="zh-CN"/>
        </w:rPr>
        <w:t>3</w:t>
      </w:r>
      <w:r>
        <w:rPr>
          <w:rFonts w:ascii="微软雅黑" w:hAnsi="微软雅黑" w:eastAsia="微软雅黑" w:cs="微软雅黑"/>
          <w:spacing w:val="-8"/>
          <w:sz w:val="24"/>
          <w:szCs w:val="24"/>
          <w:highlight w:val="none"/>
        </w:rPr>
        <w:t>年</w:t>
      </w:r>
      <w:r>
        <w:rPr>
          <w:rFonts w:hint="eastAsia" w:ascii="微软雅黑" w:hAnsi="微软雅黑" w:eastAsia="微软雅黑" w:cs="微软雅黑"/>
          <w:spacing w:val="-8"/>
          <w:sz w:val="24"/>
          <w:szCs w:val="24"/>
          <w:highlight w:val="none"/>
          <w:lang w:val="en-US" w:eastAsia="zh-CN"/>
        </w:rPr>
        <w:t>6</w:t>
      </w:r>
      <w:r>
        <w:rPr>
          <w:rFonts w:ascii="微软雅黑" w:hAnsi="微软雅黑" w:eastAsia="微软雅黑" w:cs="微软雅黑"/>
          <w:spacing w:val="-8"/>
          <w:sz w:val="24"/>
          <w:szCs w:val="24"/>
          <w:highlight w:val="none"/>
        </w:rPr>
        <w:t>月组织了最近一次危</w:t>
      </w:r>
      <w:r>
        <w:rPr>
          <w:rFonts w:ascii="微软雅黑" w:hAnsi="微软雅黑" w:eastAsia="微软雅黑" w:cs="微软雅黑"/>
          <w:spacing w:val="-7"/>
          <w:sz w:val="24"/>
          <w:szCs w:val="24"/>
          <w:highlight w:val="none"/>
        </w:rPr>
        <w:t>险</w:t>
      </w:r>
      <w:r>
        <w:rPr>
          <w:rFonts w:ascii="微软雅黑" w:hAnsi="微软雅黑" w:eastAsia="微软雅黑" w:cs="微软雅黑"/>
          <w:spacing w:val="-2"/>
          <w:sz w:val="24"/>
          <w:szCs w:val="24"/>
          <w:highlight w:val="none"/>
        </w:rPr>
        <w:t>源识别和评价，</w:t>
      </w:r>
      <w:r>
        <w:rPr>
          <w:rFonts w:ascii="微软雅黑" w:hAnsi="微软雅黑" w:eastAsia="微软雅黑" w:cs="微软雅黑"/>
          <w:color w:val="auto"/>
          <w:spacing w:val="-2"/>
          <w:sz w:val="24"/>
          <w:szCs w:val="24"/>
          <w:highlight w:val="none"/>
        </w:rPr>
        <w:t>识别到3</w:t>
      </w:r>
      <w:r>
        <w:rPr>
          <w:rFonts w:hint="eastAsia" w:ascii="微软雅黑" w:hAnsi="微软雅黑" w:eastAsia="微软雅黑" w:cs="微软雅黑"/>
          <w:color w:val="auto"/>
          <w:spacing w:val="-2"/>
          <w:sz w:val="24"/>
          <w:szCs w:val="24"/>
          <w:highlight w:val="none"/>
          <w:lang w:val="en-US" w:eastAsia="zh-CN"/>
        </w:rPr>
        <w:t>25</w:t>
      </w:r>
      <w:r>
        <w:rPr>
          <w:rFonts w:ascii="微软雅黑" w:hAnsi="微软雅黑" w:eastAsia="微软雅黑" w:cs="微软雅黑"/>
          <w:color w:val="auto"/>
          <w:spacing w:val="-2"/>
          <w:sz w:val="24"/>
          <w:szCs w:val="24"/>
          <w:highlight w:val="none"/>
        </w:rPr>
        <w:t>个危险</w:t>
      </w:r>
      <w:r>
        <w:rPr>
          <w:rFonts w:ascii="微软雅黑" w:hAnsi="微软雅黑" w:eastAsia="微软雅黑" w:cs="微软雅黑"/>
          <w:spacing w:val="-2"/>
          <w:sz w:val="24"/>
          <w:szCs w:val="24"/>
          <w:highlight w:val="none"/>
        </w:rPr>
        <w:t>源，并针对每个危险源提出了分级管控措施。</w:t>
      </w:r>
    </w:p>
    <w:p w14:paraId="2A9D3608">
      <w:pPr>
        <w:spacing w:before="80" w:line="227" w:lineRule="auto"/>
        <w:ind w:firstLine="481"/>
        <w:jc w:val="both"/>
        <w:rPr>
          <w:rFonts w:ascii="微软雅黑" w:hAnsi="微软雅黑" w:eastAsia="微软雅黑" w:cs="微软雅黑"/>
          <w:sz w:val="24"/>
          <w:szCs w:val="24"/>
          <w:highlight w:val="none"/>
        </w:rPr>
      </w:pPr>
      <w:r>
        <w:rPr>
          <w:rFonts w:ascii="微软雅黑" w:hAnsi="微软雅黑" w:eastAsia="微软雅黑" w:cs="微软雅黑"/>
          <w:spacing w:val="-5"/>
          <w:sz w:val="24"/>
          <w:szCs w:val="24"/>
          <w:highlight w:val="none"/>
        </w:rPr>
        <w:t>公司</w:t>
      </w:r>
      <w:r>
        <w:rPr>
          <w:rFonts w:hint="eastAsia" w:ascii="微软雅黑" w:hAnsi="微软雅黑" w:eastAsia="微软雅黑" w:cs="微软雅黑"/>
          <w:spacing w:val="-5"/>
          <w:sz w:val="24"/>
          <w:szCs w:val="24"/>
          <w:highlight w:val="none"/>
          <w:lang w:val="en-US" w:eastAsia="zh-CN"/>
        </w:rPr>
        <w:t>综合行政部</w:t>
      </w:r>
      <w:r>
        <w:rPr>
          <w:rFonts w:ascii="微软雅黑" w:hAnsi="微软雅黑" w:eastAsia="微软雅黑" w:cs="微软雅黑"/>
          <w:spacing w:val="-4"/>
          <w:sz w:val="24"/>
          <w:szCs w:val="24"/>
          <w:highlight w:val="none"/>
        </w:rPr>
        <w:t>制定和实施《投诉/申诉处理</w:t>
      </w:r>
      <w:r>
        <w:rPr>
          <w:rFonts w:ascii="微软雅黑" w:hAnsi="微软雅黑" w:eastAsia="微软雅黑" w:cs="微软雅黑"/>
          <w:spacing w:val="-5"/>
          <w:sz w:val="24"/>
          <w:szCs w:val="24"/>
          <w:highlight w:val="none"/>
        </w:rPr>
        <w:t>程序》，确保员工不会因为向工人代表</w:t>
      </w:r>
      <w:r>
        <w:rPr>
          <w:rFonts w:ascii="微软雅黑" w:hAnsi="微软雅黑" w:eastAsia="微软雅黑" w:cs="微软雅黑"/>
          <w:spacing w:val="1"/>
          <w:sz w:val="24"/>
          <w:szCs w:val="24"/>
          <w:highlight w:val="none"/>
        </w:rPr>
        <w:t>/</w:t>
      </w:r>
      <w:r>
        <w:rPr>
          <w:rFonts w:ascii="微软雅黑" w:hAnsi="微软雅黑" w:eastAsia="微软雅黑" w:cs="微软雅黑"/>
          <w:spacing w:val="-3"/>
          <w:sz w:val="24"/>
          <w:szCs w:val="24"/>
          <w:highlight w:val="none"/>
        </w:rPr>
        <w:t>上级管理人员、雇主或监管当局报告危害或危害情况时，或者员工因为决定自行从其认为会造</w:t>
      </w:r>
      <w:r>
        <w:rPr>
          <w:rFonts w:ascii="微软雅黑" w:hAnsi="微软雅黑" w:eastAsia="微软雅黑" w:cs="微软雅黑"/>
          <w:spacing w:val="-4"/>
          <w:sz w:val="24"/>
          <w:szCs w:val="24"/>
          <w:highlight w:val="none"/>
        </w:rPr>
        <w:t>成工伤或健康问题的工作环境中撤离时，而</w:t>
      </w:r>
      <w:r>
        <w:rPr>
          <w:rFonts w:ascii="微软雅黑" w:hAnsi="微软雅黑" w:eastAsia="微软雅黑" w:cs="微软雅黑"/>
          <w:spacing w:val="-5"/>
          <w:sz w:val="24"/>
          <w:szCs w:val="24"/>
          <w:highlight w:val="none"/>
        </w:rPr>
        <w:t>遭到打击报复或其他负面影响的行为(包括解雇、降</w:t>
      </w:r>
      <w:r>
        <w:rPr>
          <w:rFonts w:ascii="微软雅黑" w:hAnsi="微软雅黑" w:eastAsia="微软雅黑" w:cs="微软雅黑"/>
          <w:spacing w:val="-1"/>
          <w:sz w:val="24"/>
          <w:szCs w:val="24"/>
          <w:highlight w:val="none"/>
        </w:rPr>
        <w:t>级、降薪、纪律处分和任何其他不利对待)。</w:t>
      </w:r>
    </w:p>
    <w:p w14:paraId="5D87C8BA">
      <w:pPr>
        <w:pStyle w:val="3"/>
        <w:spacing w:line="252" w:lineRule="auto"/>
        <w:rPr>
          <w:highlight w:val="none"/>
        </w:rPr>
      </w:pPr>
    </w:p>
    <w:p w14:paraId="4914AEF1">
      <w:pPr>
        <w:pStyle w:val="3"/>
        <w:spacing w:line="253" w:lineRule="auto"/>
        <w:rPr>
          <w:highlight w:val="none"/>
        </w:rPr>
      </w:pPr>
    </w:p>
    <w:p w14:paraId="2CF4D604">
      <w:pPr>
        <w:spacing w:before="103" w:line="194" w:lineRule="auto"/>
        <w:ind w:left="16"/>
        <w:outlineLvl w:val="0"/>
        <w:rPr>
          <w:rFonts w:ascii="微软雅黑" w:hAnsi="微软雅黑" w:eastAsia="微软雅黑" w:cs="微软雅黑"/>
          <w:sz w:val="24"/>
          <w:szCs w:val="24"/>
          <w:highlight w:val="none"/>
        </w:rPr>
      </w:pPr>
      <w:bookmarkStart w:id="13" w:name="bookmark14"/>
      <w:bookmarkEnd w:id="13"/>
      <w:r>
        <w:rPr>
          <w:rFonts w:ascii="微软雅黑" w:hAnsi="微软雅黑" w:eastAsia="微软雅黑" w:cs="微软雅黑"/>
          <w:b/>
          <w:bCs/>
          <w:spacing w:val="-3"/>
          <w:sz w:val="24"/>
          <w:szCs w:val="24"/>
          <w:highlight w:val="none"/>
        </w:rPr>
        <w:t>3、职业健康服务</w:t>
      </w:r>
    </w:p>
    <w:p w14:paraId="55DAAAA9">
      <w:pPr>
        <w:pStyle w:val="3"/>
        <w:spacing w:line="339" w:lineRule="auto"/>
        <w:rPr>
          <w:highlight w:val="none"/>
        </w:rPr>
      </w:pPr>
    </w:p>
    <w:p w14:paraId="659EDA63">
      <w:pPr>
        <w:spacing w:before="103" w:line="217" w:lineRule="auto"/>
        <w:ind w:left="1" w:right="3" w:firstLine="480"/>
        <w:rPr>
          <w:rFonts w:ascii="微软雅黑" w:hAnsi="微软雅黑" w:eastAsia="微软雅黑" w:cs="微软雅黑"/>
          <w:sz w:val="24"/>
          <w:szCs w:val="24"/>
          <w:highlight w:val="none"/>
        </w:rPr>
      </w:pPr>
      <w:r>
        <w:rPr>
          <w:rFonts w:ascii="微软雅黑" w:hAnsi="微软雅黑" w:eastAsia="微软雅黑" w:cs="微软雅黑"/>
          <w:spacing w:val="-5"/>
          <w:sz w:val="24"/>
          <w:szCs w:val="24"/>
          <w:highlight w:val="none"/>
        </w:rPr>
        <w:t>依据《职业病危害预评价报告》和《职业病危</w:t>
      </w:r>
      <w:r>
        <w:rPr>
          <w:rFonts w:ascii="微软雅黑" w:hAnsi="微软雅黑" w:eastAsia="微软雅黑" w:cs="微软雅黑"/>
          <w:spacing w:val="-6"/>
          <w:sz w:val="24"/>
          <w:szCs w:val="24"/>
          <w:highlight w:val="none"/>
        </w:rPr>
        <w:t>害控制效果评价报告》，公司存在以下职业病</w:t>
      </w:r>
      <w:r>
        <w:rPr>
          <w:rFonts w:ascii="微软雅黑" w:hAnsi="微软雅黑" w:eastAsia="微软雅黑" w:cs="微软雅黑"/>
          <w:spacing w:val="-8"/>
          <w:sz w:val="24"/>
          <w:szCs w:val="24"/>
          <w:highlight w:val="none"/>
        </w:rPr>
        <w:t>危害因素：</w:t>
      </w:r>
    </w:p>
    <w:p w14:paraId="07001424">
      <w:pPr>
        <w:spacing w:before="78" w:line="217" w:lineRule="auto"/>
        <w:ind w:left="1" w:right="4" w:firstLine="495"/>
        <w:rPr>
          <w:rFonts w:ascii="微软雅黑" w:hAnsi="微软雅黑" w:eastAsia="微软雅黑" w:cs="微软雅黑"/>
          <w:sz w:val="24"/>
          <w:szCs w:val="24"/>
          <w:highlight w:val="none"/>
        </w:rPr>
      </w:pPr>
      <w:r>
        <w:rPr>
          <w:rFonts w:ascii="微软雅黑" w:hAnsi="微软雅黑" w:eastAsia="微软雅黑" w:cs="微软雅黑"/>
          <w:spacing w:val="-5"/>
          <w:sz w:val="24"/>
          <w:szCs w:val="24"/>
          <w:highlight w:val="none"/>
        </w:rPr>
        <w:t>(1)化学有害因素：一氧化碳、盐酸、氢氟酸、</w:t>
      </w:r>
      <w:r>
        <w:rPr>
          <w:rFonts w:hint="eastAsia" w:ascii="微软雅黑" w:hAnsi="微软雅黑" w:eastAsia="微软雅黑" w:cs="微软雅黑"/>
          <w:spacing w:val="-5"/>
          <w:sz w:val="24"/>
          <w:szCs w:val="24"/>
          <w:highlight w:val="none"/>
          <w:lang w:val="en-US" w:eastAsia="zh-CN"/>
        </w:rPr>
        <w:t>硝酸、</w:t>
      </w:r>
      <w:r>
        <w:rPr>
          <w:rFonts w:ascii="微软雅黑" w:hAnsi="微软雅黑" w:eastAsia="微软雅黑" w:cs="微软雅黑"/>
          <w:spacing w:val="-5"/>
          <w:sz w:val="24"/>
          <w:szCs w:val="24"/>
          <w:highlight w:val="none"/>
        </w:rPr>
        <w:t>氢氧化钠、砂</w:t>
      </w:r>
      <w:r>
        <w:rPr>
          <w:rFonts w:ascii="微软雅黑" w:hAnsi="微软雅黑" w:eastAsia="微软雅黑" w:cs="微软雅黑"/>
          <w:spacing w:val="-3"/>
          <w:sz w:val="24"/>
          <w:szCs w:val="24"/>
          <w:highlight w:val="none"/>
        </w:rPr>
        <w:t>轮磨尘、铁及其</w:t>
      </w:r>
      <w:r>
        <w:rPr>
          <w:rFonts w:hint="eastAsia" w:ascii="微软雅黑" w:hAnsi="微软雅黑" w:eastAsia="微软雅黑" w:cs="微软雅黑"/>
          <w:spacing w:val="-3"/>
          <w:sz w:val="24"/>
          <w:szCs w:val="24"/>
          <w:highlight w:val="none"/>
          <w:lang w:eastAsia="zh-CN"/>
        </w:rPr>
        <w:t>他</w:t>
      </w:r>
      <w:r>
        <w:rPr>
          <w:rFonts w:ascii="微软雅黑" w:hAnsi="微软雅黑" w:eastAsia="微软雅黑" w:cs="微软雅黑"/>
          <w:spacing w:val="-3"/>
          <w:sz w:val="24"/>
          <w:szCs w:val="24"/>
          <w:highlight w:val="none"/>
        </w:rPr>
        <w:t>化合物、铝粉尘、其他粉尘</w:t>
      </w:r>
      <w:r>
        <w:rPr>
          <w:rFonts w:hint="eastAsia" w:ascii="微软雅黑" w:hAnsi="微软雅黑" w:eastAsia="微软雅黑" w:cs="微软雅黑"/>
          <w:spacing w:val="-3"/>
          <w:sz w:val="24"/>
          <w:szCs w:val="24"/>
          <w:highlight w:val="none"/>
          <w:lang w:eastAsia="zh-CN"/>
        </w:rPr>
        <w:t>等</w:t>
      </w:r>
      <w:r>
        <w:rPr>
          <w:rFonts w:ascii="微软雅黑" w:hAnsi="微软雅黑" w:eastAsia="微软雅黑" w:cs="微软雅黑"/>
          <w:spacing w:val="-3"/>
          <w:sz w:val="24"/>
          <w:szCs w:val="24"/>
          <w:highlight w:val="none"/>
        </w:rPr>
        <w:t>。</w:t>
      </w:r>
    </w:p>
    <w:p w14:paraId="48FE27DF">
      <w:pPr>
        <w:spacing w:before="80" w:line="189" w:lineRule="auto"/>
        <w:ind w:left="496"/>
        <w:rPr>
          <w:rFonts w:ascii="微软雅黑" w:hAnsi="微软雅黑" w:eastAsia="微软雅黑" w:cs="微软雅黑"/>
          <w:sz w:val="24"/>
          <w:szCs w:val="24"/>
          <w:highlight w:val="none"/>
        </w:rPr>
      </w:pPr>
      <w:r>
        <w:rPr>
          <w:rFonts w:ascii="微软雅黑" w:hAnsi="微软雅黑" w:eastAsia="微软雅黑" w:cs="微软雅黑"/>
          <w:spacing w:val="-13"/>
          <w:sz w:val="24"/>
          <w:szCs w:val="24"/>
          <w:highlight w:val="none"/>
        </w:rPr>
        <w:t>(2)物理因素：噪声、高温、工频电场。</w:t>
      </w:r>
    </w:p>
    <w:p w14:paraId="609BA7A9">
      <w:pPr>
        <w:spacing w:before="83" w:line="231" w:lineRule="auto"/>
        <w:ind w:left="1" w:right="4" w:firstLine="479"/>
        <w:jc w:val="both"/>
        <w:rPr>
          <w:rFonts w:ascii="微软雅黑" w:hAnsi="微软雅黑" w:eastAsia="微软雅黑" w:cs="微软雅黑"/>
          <w:sz w:val="24"/>
          <w:szCs w:val="24"/>
          <w:highlight w:val="none"/>
        </w:rPr>
      </w:pPr>
      <w:r>
        <w:rPr>
          <w:rFonts w:ascii="微软雅黑" w:hAnsi="微软雅黑" w:eastAsia="微软雅黑" w:cs="微软雅黑"/>
          <w:spacing w:val="-9"/>
          <w:sz w:val="24"/>
          <w:szCs w:val="24"/>
          <w:highlight w:val="none"/>
        </w:rPr>
        <w:t>公司严格执行《中华人民共和国职业病防治法》，重视职业卫生工作，加强针对职业性有害</w:t>
      </w:r>
      <w:r>
        <w:rPr>
          <w:rFonts w:ascii="微软雅黑" w:hAnsi="微软雅黑" w:eastAsia="微软雅黑" w:cs="微软雅黑"/>
          <w:spacing w:val="-3"/>
          <w:sz w:val="24"/>
          <w:szCs w:val="24"/>
          <w:highlight w:val="none"/>
        </w:rPr>
        <w:t>因素的防护措施，使生产现场职业病危害因素水平达到国家职业卫生标准。加强卫生宣教，增</w:t>
      </w:r>
      <w:r>
        <w:rPr>
          <w:rFonts w:ascii="微软雅黑" w:hAnsi="微软雅黑" w:eastAsia="微软雅黑" w:cs="微软雅黑"/>
          <w:spacing w:val="1"/>
          <w:sz w:val="24"/>
          <w:szCs w:val="24"/>
          <w:highlight w:val="none"/>
        </w:rPr>
        <w:t>强员工自我保护意识，做好个人防护工作。</w:t>
      </w:r>
      <w:r>
        <w:rPr>
          <w:rFonts w:ascii="微软雅黑" w:hAnsi="微软雅黑" w:eastAsia="微软雅黑" w:cs="微软雅黑"/>
          <w:sz w:val="24"/>
          <w:szCs w:val="24"/>
          <w:highlight w:val="none"/>
        </w:rPr>
        <w:t>定期对工作场所中职业危害因素进行检测。完善上岗前、在岗期间、离岗或转岗时工人的职业健康体检，早期发现职业禁忌证或职业病患者，保</w:t>
      </w:r>
      <w:r>
        <w:rPr>
          <w:rFonts w:ascii="微软雅黑" w:hAnsi="微软雅黑" w:eastAsia="微软雅黑" w:cs="微软雅黑"/>
          <w:spacing w:val="-7"/>
          <w:sz w:val="24"/>
          <w:szCs w:val="24"/>
          <w:highlight w:val="none"/>
        </w:rPr>
        <w:t>护员工健康。</w:t>
      </w:r>
    </w:p>
    <w:p w14:paraId="6CBCCC16">
      <w:pPr>
        <w:spacing w:before="83" w:line="224" w:lineRule="auto"/>
        <w:ind w:left="2" w:right="1" w:firstLine="734" w:firstLineChars="328"/>
        <w:jc w:val="both"/>
        <w:rPr>
          <w:rFonts w:ascii="微软雅黑" w:hAnsi="微软雅黑" w:eastAsia="微软雅黑" w:cs="微软雅黑"/>
          <w:sz w:val="24"/>
          <w:szCs w:val="24"/>
          <w:highlight w:val="none"/>
        </w:rPr>
      </w:pPr>
      <w:r>
        <w:rPr>
          <w:rFonts w:ascii="微软雅黑" w:hAnsi="微软雅黑" w:eastAsia="微软雅黑" w:cs="微软雅黑"/>
          <w:spacing w:val="-8"/>
          <w:sz w:val="24"/>
          <w:szCs w:val="24"/>
          <w:highlight w:val="none"/>
        </w:rPr>
        <w:t>在202</w:t>
      </w:r>
      <w:r>
        <w:rPr>
          <w:rFonts w:hint="eastAsia" w:ascii="微软雅黑" w:hAnsi="微软雅黑" w:eastAsia="微软雅黑" w:cs="微软雅黑"/>
          <w:spacing w:val="-8"/>
          <w:sz w:val="24"/>
          <w:szCs w:val="24"/>
          <w:highlight w:val="none"/>
          <w:lang w:val="en-US" w:eastAsia="zh-CN"/>
        </w:rPr>
        <w:t>3</w:t>
      </w:r>
      <w:r>
        <w:rPr>
          <w:rFonts w:ascii="微软雅黑" w:hAnsi="微软雅黑" w:eastAsia="微软雅黑" w:cs="微软雅黑"/>
          <w:spacing w:val="-8"/>
          <w:sz w:val="24"/>
          <w:szCs w:val="24"/>
          <w:highlight w:val="none"/>
        </w:rPr>
        <w:t>年，公司为全部接触职业危害</w:t>
      </w:r>
      <w:r>
        <w:rPr>
          <w:rFonts w:ascii="微软雅黑" w:hAnsi="微软雅黑" w:eastAsia="微软雅黑" w:cs="微软雅黑"/>
          <w:spacing w:val="-9"/>
          <w:sz w:val="24"/>
          <w:szCs w:val="24"/>
          <w:highlight w:val="none"/>
        </w:rPr>
        <w:t>的员工安排</w:t>
      </w:r>
      <w:r>
        <w:rPr>
          <w:rFonts w:ascii="微软雅黑" w:hAnsi="微软雅黑" w:eastAsia="微软雅黑" w:cs="微软雅黑"/>
          <w:color w:val="auto"/>
          <w:spacing w:val="-9"/>
          <w:sz w:val="24"/>
          <w:szCs w:val="24"/>
          <w:highlight w:val="none"/>
        </w:rPr>
        <w:t>了职业健康体检，应检</w:t>
      </w:r>
      <w:r>
        <w:rPr>
          <w:rFonts w:hint="eastAsia" w:ascii="微软雅黑" w:hAnsi="微软雅黑" w:eastAsia="微软雅黑" w:cs="微软雅黑"/>
          <w:color w:val="auto"/>
          <w:spacing w:val="-9"/>
          <w:sz w:val="24"/>
          <w:szCs w:val="24"/>
          <w:highlight w:val="none"/>
          <w:lang w:val="en-US" w:eastAsia="zh-CN"/>
        </w:rPr>
        <w:t>137</w:t>
      </w:r>
      <w:r>
        <w:rPr>
          <w:rFonts w:ascii="微软雅黑" w:hAnsi="微软雅黑" w:eastAsia="微软雅黑" w:cs="微软雅黑"/>
          <w:color w:val="auto"/>
          <w:spacing w:val="-9"/>
          <w:sz w:val="24"/>
          <w:szCs w:val="24"/>
          <w:highlight w:val="none"/>
        </w:rPr>
        <w:t>人，实检</w:t>
      </w:r>
      <w:r>
        <w:rPr>
          <w:rFonts w:hint="eastAsia" w:ascii="微软雅黑" w:hAnsi="微软雅黑" w:eastAsia="微软雅黑" w:cs="微软雅黑"/>
          <w:color w:val="auto"/>
          <w:spacing w:val="-9"/>
          <w:sz w:val="24"/>
          <w:szCs w:val="24"/>
          <w:highlight w:val="none"/>
          <w:lang w:val="en-US" w:eastAsia="zh-CN"/>
        </w:rPr>
        <w:t>137</w:t>
      </w:r>
      <w:r>
        <w:rPr>
          <w:rFonts w:ascii="微软雅黑" w:hAnsi="微软雅黑" w:eastAsia="微软雅黑" w:cs="微软雅黑"/>
          <w:color w:val="auto"/>
          <w:spacing w:val="-1"/>
          <w:sz w:val="24"/>
          <w:szCs w:val="24"/>
          <w:highlight w:val="none"/>
        </w:rPr>
        <w:t>人。发现</w:t>
      </w:r>
      <w:r>
        <w:rPr>
          <w:rFonts w:hint="eastAsia" w:ascii="微软雅黑" w:hAnsi="微软雅黑" w:eastAsia="微软雅黑" w:cs="微软雅黑"/>
          <w:color w:val="auto"/>
          <w:spacing w:val="-1"/>
          <w:sz w:val="24"/>
          <w:szCs w:val="24"/>
          <w:highlight w:val="none"/>
          <w:lang w:val="en-US" w:eastAsia="zh-CN"/>
        </w:rPr>
        <w:t>5</w:t>
      </w:r>
      <w:r>
        <w:rPr>
          <w:rFonts w:ascii="微软雅黑" w:hAnsi="微软雅黑" w:eastAsia="微软雅黑" w:cs="微软雅黑"/>
          <w:color w:val="auto"/>
          <w:spacing w:val="-1"/>
          <w:sz w:val="24"/>
          <w:szCs w:val="24"/>
          <w:highlight w:val="none"/>
        </w:rPr>
        <w:t>人有职业禁</w:t>
      </w:r>
      <w:r>
        <w:rPr>
          <w:rFonts w:ascii="微软雅黑" w:hAnsi="微软雅黑" w:eastAsia="微软雅黑" w:cs="微软雅黑"/>
          <w:color w:val="auto"/>
          <w:spacing w:val="-2"/>
          <w:sz w:val="24"/>
          <w:szCs w:val="24"/>
          <w:highlight w:val="none"/>
        </w:rPr>
        <w:t>忌证，发现疑似职业病0人。公司按照规定严格保密</w:t>
      </w:r>
      <w:r>
        <w:rPr>
          <w:rFonts w:ascii="微软雅黑" w:hAnsi="微软雅黑" w:eastAsia="微软雅黑" w:cs="微软雅黑"/>
          <w:color w:val="auto"/>
          <w:spacing w:val="-3"/>
          <w:sz w:val="24"/>
          <w:szCs w:val="24"/>
          <w:highlight w:val="none"/>
        </w:rPr>
        <w:t>员工</w:t>
      </w:r>
      <w:r>
        <w:rPr>
          <w:rFonts w:ascii="微软雅黑" w:hAnsi="微软雅黑" w:eastAsia="微软雅黑" w:cs="微软雅黑"/>
          <w:spacing w:val="-3"/>
          <w:sz w:val="24"/>
          <w:szCs w:val="24"/>
          <w:highlight w:val="none"/>
        </w:rPr>
        <w:t>的职业健康体检。</w:t>
      </w:r>
    </w:p>
    <w:p w14:paraId="4DFB365D">
      <w:pPr>
        <w:spacing w:before="77" w:line="230" w:lineRule="auto"/>
        <w:ind w:firstLine="480"/>
        <w:jc w:val="both"/>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在</w:t>
      </w:r>
      <w:r>
        <w:rPr>
          <w:rFonts w:hint="eastAsia" w:ascii="微软雅黑" w:hAnsi="微软雅黑" w:eastAsia="微软雅黑" w:cs="微软雅黑"/>
          <w:spacing w:val="-1"/>
          <w:sz w:val="24"/>
          <w:szCs w:val="24"/>
          <w:highlight w:val="none"/>
        </w:rPr>
        <w:t>202</w:t>
      </w:r>
      <w:r>
        <w:rPr>
          <w:rFonts w:hint="eastAsia" w:ascii="微软雅黑" w:hAnsi="微软雅黑" w:eastAsia="微软雅黑" w:cs="微软雅黑"/>
          <w:spacing w:val="-1"/>
          <w:sz w:val="24"/>
          <w:szCs w:val="24"/>
          <w:highlight w:val="none"/>
          <w:lang w:val="en-US" w:eastAsia="zh-CN"/>
        </w:rPr>
        <w:t>3</w:t>
      </w:r>
      <w:r>
        <w:rPr>
          <w:rFonts w:hint="eastAsia" w:ascii="微软雅黑" w:hAnsi="微软雅黑" w:eastAsia="微软雅黑" w:cs="微软雅黑"/>
          <w:spacing w:val="-1"/>
          <w:sz w:val="24"/>
          <w:szCs w:val="24"/>
          <w:highlight w:val="none"/>
        </w:rPr>
        <w:t>年12月</w:t>
      </w:r>
      <w:r>
        <w:rPr>
          <w:rFonts w:ascii="微软雅黑" w:hAnsi="微软雅黑" w:eastAsia="微软雅黑" w:cs="微软雅黑"/>
          <w:spacing w:val="-1"/>
          <w:sz w:val="24"/>
          <w:szCs w:val="24"/>
          <w:highlight w:val="none"/>
        </w:rPr>
        <w:t>，安环部委托有资质第三方</w:t>
      </w:r>
      <w:r>
        <w:rPr>
          <w:rFonts w:hint="eastAsia" w:ascii="微软雅黑" w:hAnsi="微软雅黑" w:eastAsia="微软雅黑" w:cs="微软雅黑"/>
          <w:spacing w:val="-1"/>
          <w:sz w:val="24"/>
          <w:szCs w:val="24"/>
          <w:highlight w:val="none"/>
        </w:rPr>
        <w:t>安徽中成检测有限公司</w:t>
      </w:r>
      <w:r>
        <w:rPr>
          <w:rFonts w:ascii="微软雅黑" w:hAnsi="微软雅黑" w:eastAsia="微软雅黑" w:cs="微软雅黑"/>
          <w:spacing w:val="-1"/>
          <w:sz w:val="24"/>
          <w:szCs w:val="24"/>
          <w:highlight w:val="none"/>
        </w:rPr>
        <w:t>，对工作场</w:t>
      </w:r>
      <w:r>
        <w:rPr>
          <w:rFonts w:ascii="微软雅黑" w:hAnsi="微软雅黑" w:eastAsia="微软雅黑" w:cs="微软雅黑"/>
          <w:spacing w:val="-2"/>
          <w:sz w:val="24"/>
          <w:szCs w:val="24"/>
          <w:highlight w:val="none"/>
        </w:rPr>
        <w:t>所职业</w:t>
      </w:r>
      <w:r>
        <w:rPr>
          <w:rFonts w:ascii="微软雅黑" w:hAnsi="微软雅黑" w:eastAsia="微软雅黑" w:cs="微软雅黑"/>
          <w:spacing w:val="-8"/>
          <w:sz w:val="24"/>
          <w:szCs w:val="24"/>
          <w:highlight w:val="none"/>
        </w:rPr>
        <w:t>病危</w:t>
      </w:r>
      <w:r>
        <w:rPr>
          <w:rFonts w:ascii="微软雅黑" w:hAnsi="微软雅黑" w:eastAsia="微软雅黑" w:cs="微软雅黑"/>
          <w:spacing w:val="-7"/>
          <w:sz w:val="24"/>
          <w:szCs w:val="24"/>
          <w:highlight w:val="none"/>
        </w:rPr>
        <w:t>害因素进行了采样与检测。检测结果表明，所检测岗位接触氧化铝粉尘(总尘</w:t>
      </w:r>
      <w:r>
        <w:rPr>
          <w:rFonts w:ascii="微软雅黑" w:hAnsi="微软雅黑" w:eastAsia="微软雅黑" w:cs="微软雅黑"/>
          <w:spacing w:val="-8"/>
          <w:sz w:val="24"/>
          <w:szCs w:val="24"/>
          <w:highlight w:val="none"/>
        </w:rPr>
        <w:t>)、其他粉尘(</w:t>
      </w:r>
      <w:r>
        <w:rPr>
          <w:rFonts w:ascii="微软雅黑" w:hAnsi="微软雅黑" w:eastAsia="微软雅黑" w:cs="微软雅黑"/>
          <w:spacing w:val="-6"/>
          <w:sz w:val="24"/>
          <w:szCs w:val="24"/>
          <w:highlight w:val="none"/>
        </w:rPr>
        <w:t>总</w:t>
      </w:r>
      <w:r>
        <w:rPr>
          <w:rFonts w:ascii="微软雅黑" w:hAnsi="微软雅黑" w:eastAsia="微软雅黑" w:cs="微软雅黑"/>
          <w:spacing w:val="-2"/>
          <w:sz w:val="24"/>
          <w:szCs w:val="24"/>
          <w:highlight w:val="none"/>
        </w:rPr>
        <w:t>尘)、一氧化碳(非高原)的浓度数值符合《工作场所有害因素职业接触限值第1部分:化学有害</w:t>
      </w:r>
      <w:r>
        <w:rPr>
          <w:rFonts w:ascii="微软雅黑" w:hAnsi="微软雅黑" w:eastAsia="微软雅黑" w:cs="微软雅黑"/>
          <w:spacing w:val="-4"/>
          <w:sz w:val="24"/>
          <w:szCs w:val="24"/>
          <w:highlight w:val="none"/>
        </w:rPr>
        <w:t>因素》(GBZ2.1-2019)的要求。所检测岗位接触噪声、高温、工频电场的强度数值符合</w:t>
      </w:r>
      <w:r>
        <w:rPr>
          <w:rFonts w:ascii="微软雅黑" w:hAnsi="微软雅黑" w:eastAsia="微软雅黑" w:cs="微软雅黑"/>
          <w:spacing w:val="-5"/>
          <w:sz w:val="24"/>
          <w:szCs w:val="24"/>
          <w:highlight w:val="none"/>
        </w:rPr>
        <w:t>《工作场</w:t>
      </w:r>
      <w:r>
        <w:rPr>
          <w:rFonts w:ascii="微软雅黑" w:hAnsi="微软雅黑" w:eastAsia="微软雅黑" w:cs="微软雅黑"/>
          <w:spacing w:val="-3"/>
          <w:sz w:val="24"/>
          <w:szCs w:val="24"/>
          <w:highlight w:val="none"/>
        </w:rPr>
        <w:t>所有害因素职业接触限值第2部分</w:t>
      </w:r>
      <w:r>
        <w:rPr>
          <w:rFonts w:hint="eastAsia" w:ascii="微软雅黑" w:hAnsi="微软雅黑" w:eastAsia="微软雅黑" w:cs="微软雅黑"/>
          <w:spacing w:val="-3"/>
          <w:sz w:val="24"/>
          <w:szCs w:val="24"/>
          <w:highlight w:val="none"/>
          <w:lang w:val="en-US" w:eastAsia="zh-CN"/>
        </w:rPr>
        <w:t>：</w:t>
      </w:r>
      <w:r>
        <w:rPr>
          <w:rFonts w:ascii="微软雅黑" w:hAnsi="微软雅黑" w:eastAsia="微软雅黑" w:cs="微软雅黑"/>
          <w:spacing w:val="-3"/>
          <w:sz w:val="24"/>
          <w:szCs w:val="24"/>
          <w:highlight w:val="none"/>
        </w:rPr>
        <w:t>物理因素》(GBZ2.2-2007</w:t>
      </w:r>
      <w:r>
        <w:rPr>
          <w:rFonts w:ascii="微软雅黑" w:hAnsi="微软雅黑" w:eastAsia="微软雅黑" w:cs="微软雅黑"/>
          <w:spacing w:val="-4"/>
          <w:sz w:val="24"/>
          <w:szCs w:val="24"/>
          <w:highlight w:val="none"/>
        </w:rPr>
        <w:t>)的要求。</w:t>
      </w:r>
    </w:p>
    <w:p w14:paraId="5099B012">
      <w:pPr>
        <w:pStyle w:val="3"/>
        <w:spacing w:line="349" w:lineRule="auto"/>
        <w:rPr>
          <w:highlight w:val="none"/>
        </w:rPr>
      </w:pPr>
    </w:p>
    <w:p w14:paraId="2AE4C3C5">
      <w:pPr>
        <w:spacing w:before="104" w:line="194" w:lineRule="auto"/>
        <w:ind w:left="2"/>
        <w:outlineLvl w:val="0"/>
        <w:rPr>
          <w:rFonts w:ascii="微软雅黑" w:hAnsi="微软雅黑" w:eastAsia="微软雅黑" w:cs="微软雅黑"/>
          <w:sz w:val="24"/>
          <w:szCs w:val="24"/>
          <w:highlight w:val="none"/>
        </w:rPr>
      </w:pPr>
      <w:bookmarkStart w:id="14" w:name="bookmark15"/>
      <w:bookmarkEnd w:id="14"/>
      <w:r>
        <w:rPr>
          <w:rFonts w:ascii="微软雅黑" w:hAnsi="微软雅黑" w:eastAsia="微软雅黑" w:cs="微软雅黑"/>
          <w:b/>
          <w:bCs/>
          <w:sz w:val="24"/>
          <w:szCs w:val="24"/>
          <w:highlight w:val="none"/>
        </w:rPr>
        <w:t>4、职业健康与安全事务：员工的参与、意见征</w:t>
      </w:r>
      <w:r>
        <w:rPr>
          <w:rFonts w:ascii="微软雅黑" w:hAnsi="微软雅黑" w:eastAsia="微软雅黑" w:cs="微软雅黑"/>
          <w:b/>
          <w:bCs/>
          <w:spacing w:val="-1"/>
          <w:sz w:val="24"/>
          <w:szCs w:val="24"/>
          <w:highlight w:val="none"/>
        </w:rPr>
        <w:t>询和沟通</w:t>
      </w:r>
    </w:p>
    <w:p w14:paraId="38982F39">
      <w:pPr>
        <w:pStyle w:val="3"/>
        <w:spacing w:line="341" w:lineRule="auto"/>
        <w:rPr>
          <w:highlight w:val="none"/>
        </w:rPr>
      </w:pPr>
    </w:p>
    <w:p w14:paraId="065D4612">
      <w:pPr>
        <w:spacing w:before="103" w:line="216" w:lineRule="auto"/>
        <w:ind w:left="1" w:right="1" w:firstLine="480"/>
        <w:jc w:val="both"/>
        <w:rPr>
          <w:rFonts w:ascii="微软雅黑" w:hAnsi="微软雅黑" w:eastAsia="微软雅黑" w:cs="微软雅黑"/>
          <w:spacing w:val="-9"/>
          <w:sz w:val="24"/>
          <w:szCs w:val="24"/>
          <w:highlight w:val="none"/>
        </w:rPr>
      </w:pPr>
      <w:r>
        <w:rPr>
          <w:rFonts w:ascii="微软雅黑" w:hAnsi="微软雅黑" w:eastAsia="微软雅黑" w:cs="微软雅黑"/>
          <w:spacing w:val="-5"/>
          <w:sz w:val="24"/>
          <w:szCs w:val="24"/>
          <w:highlight w:val="none"/>
        </w:rPr>
        <w:t>公司设置“安全生产委员会”，为员工们提供向管</w:t>
      </w:r>
      <w:r>
        <w:rPr>
          <w:rFonts w:ascii="微软雅黑" w:hAnsi="微软雅黑" w:eastAsia="微软雅黑" w:cs="微软雅黑"/>
          <w:spacing w:val="-6"/>
          <w:sz w:val="24"/>
          <w:szCs w:val="24"/>
          <w:highlight w:val="none"/>
        </w:rPr>
        <w:t>理层提出、讨论并参与解决职业健康与安</w:t>
      </w:r>
      <w:r>
        <w:rPr>
          <w:rFonts w:ascii="微软雅黑" w:hAnsi="微软雅黑" w:eastAsia="微软雅黑" w:cs="微软雅黑"/>
          <w:spacing w:val="-8"/>
          <w:sz w:val="24"/>
          <w:szCs w:val="24"/>
          <w:highlight w:val="none"/>
        </w:rPr>
        <w:t>全问题的机制。每</w:t>
      </w:r>
      <w:r>
        <w:rPr>
          <w:rFonts w:hint="eastAsia" w:ascii="微软雅黑" w:hAnsi="微软雅黑" w:eastAsia="微软雅黑" w:cs="微软雅黑"/>
          <w:spacing w:val="-8"/>
          <w:sz w:val="24"/>
          <w:szCs w:val="24"/>
          <w:highlight w:val="none"/>
          <w:lang w:val="en-US" w:eastAsia="zh-CN"/>
        </w:rPr>
        <w:t>月</w:t>
      </w:r>
      <w:r>
        <w:rPr>
          <w:rFonts w:ascii="微软雅黑" w:hAnsi="微软雅黑" w:eastAsia="微软雅黑" w:cs="微软雅黑"/>
          <w:spacing w:val="-8"/>
          <w:sz w:val="24"/>
          <w:szCs w:val="24"/>
          <w:highlight w:val="none"/>
        </w:rPr>
        <w:t>召开“安全生产会议”，对</w:t>
      </w:r>
      <w:r>
        <w:rPr>
          <w:rFonts w:ascii="微软雅黑" w:hAnsi="微软雅黑" w:eastAsia="微软雅黑" w:cs="微软雅黑"/>
          <w:spacing w:val="-9"/>
          <w:sz w:val="24"/>
          <w:szCs w:val="24"/>
          <w:highlight w:val="none"/>
        </w:rPr>
        <w:t>事件和未遂事件作出反应。</w:t>
      </w:r>
    </w:p>
    <w:p w14:paraId="387F73CD">
      <w:pPr>
        <w:spacing w:before="103" w:line="216" w:lineRule="auto"/>
        <w:ind w:left="1" w:right="1" w:firstLine="480"/>
        <w:jc w:val="both"/>
        <w:rPr>
          <w:rFonts w:hint="eastAsia" w:ascii="微软雅黑" w:hAnsi="微软雅黑" w:eastAsia="微软雅黑" w:cs="微软雅黑"/>
          <w:spacing w:val="-5"/>
          <w:sz w:val="24"/>
          <w:szCs w:val="24"/>
          <w:highlight w:val="none"/>
          <w:lang w:eastAsia="zh-CN"/>
        </w:rPr>
      </w:pPr>
      <w:r>
        <w:rPr>
          <w:rFonts w:ascii="微软雅黑" w:hAnsi="微软雅黑" w:eastAsia="微软雅黑" w:cs="微软雅黑"/>
          <w:spacing w:val="-5"/>
          <w:sz w:val="24"/>
          <w:szCs w:val="24"/>
          <w:highlight w:val="none"/>
        </w:rPr>
        <w:t>公司设置“安全隐患提报系统”，确保工人能</w:t>
      </w:r>
      <w:r>
        <w:rPr>
          <w:rFonts w:ascii="微软雅黑" w:hAnsi="微软雅黑" w:eastAsia="微软雅黑" w:cs="微软雅黑"/>
          <w:spacing w:val="-6"/>
          <w:sz w:val="24"/>
          <w:szCs w:val="24"/>
          <w:highlight w:val="none"/>
        </w:rPr>
        <w:t>够在不害怕批评或报复的情况下提出健康和安</w:t>
      </w:r>
      <w:r>
        <w:rPr>
          <w:rFonts w:ascii="微软雅黑" w:hAnsi="微软雅黑" w:eastAsia="微软雅黑" w:cs="微软雅黑"/>
          <w:spacing w:val="-2"/>
          <w:sz w:val="24"/>
          <w:szCs w:val="24"/>
          <w:highlight w:val="none"/>
        </w:rPr>
        <w:t>全问题，并对员工的安全和健康方面的提议进行奖励。在202</w:t>
      </w:r>
      <w:r>
        <w:rPr>
          <w:rFonts w:hint="eastAsia" w:ascii="微软雅黑" w:hAnsi="微软雅黑" w:eastAsia="微软雅黑" w:cs="微软雅黑"/>
          <w:spacing w:val="-2"/>
          <w:sz w:val="24"/>
          <w:szCs w:val="24"/>
          <w:highlight w:val="none"/>
          <w:lang w:val="en-US" w:eastAsia="zh-CN"/>
        </w:rPr>
        <w:t>3</w:t>
      </w:r>
      <w:r>
        <w:rPr>
          <w:rFonts w:ascii="微软雅黑" w:hAnsi="微软雅黑" w:eastAsia="微软雅黑" w:cs="微软雅黑"/>
          <w:spacing w:val="-2"/>
          <w:sz w:val="24"/>
          <w:szCs w:val="24"/>
          <w:highlight w:val="none"/>
        </w:rPr>
        <w:t>年，公司共收到</w:t>
      </w:r>
      <w:r>
        <w:rPr>
          <w:rFonts w:hint="eastAsia" w:ascii="微软雅黑" w:hAnsi="微软雅黑" w:eastAsia="微软雅黑" w:cs="微软雅黑"/>
          <w:spacing w:val="-2"/>
          <w:sz w:val="24"/>
          <w:szCs w:val="24"/>
          <w:highlight w:val="none"/>
          <w:lang w:val="en-US" w:eastAsia="zh-CN"/>
        </w:rPr>
        <w:t>0</w:t>
      </w:r>
      <w:r>
        <w:rPr>
          <w:rFonts w:ascii="微软雅黑" w:hAnsi="微软雅黑" w:eastAsia="微软雅黑" w:cs="微软雅黑"/>
          <w:spacing w:val="-2"/>
          <w:sz w:val="24"/>
          <w:szCs w:val="24"/>
          <w:highlight w:val="none"/>
        </w:rPr>
        <w:t>个关于职业</w:t>
      </w:r>
      <w:r>
        <w:rPr>
          <w:rFonts w:ascii="微软雅黑" w:hAnsi="微软雅黑" w:eastAsia="微软雅黑" w:cs="微软雅黑"/>
          <w:spacing w:val="-5"/>
          <w:sz w:val="24"/>
          <w:szCs w:val="24"/>
          <w:highlight w:val="none"/>
        </w:rPr>
        <w:t>健康与安全方面的员工反馈、建议和意见</w:t>
      </w:r>
      <w:r>
        <w:rPr>
          <w:rFonts w:hint="eastAsia" w:ascii="微软雅黑" w:hAnsi="微软雅黑" w:eastAsia="微软雅黑" w:cs="微软雅黑"/>
          <w:spacing w:val="-5"/>
          <w:sz w:val="24"/>
          <w:szCs w:val="24"/>
          <w:highlight w:val="none"/>
          <w:lang w:eastAsia="zh-CN"/>
        </w:rPr>
        <w:t>。</w:t>
      </w:r>
    </w:p>
    <w:p w14:paraId="1CCF850A">
      <w:pPr>
        <w:spacing w:before="103" w:line="216" w:lineRule="auto"/>
        <w:ind w:left="1" w:right="1" w:firstLine="480"/>
        <w:jc w:val="both"/>
        <w:rPr>
          <w:rFonts w:hint="eastAsia" w:ascii="微软雅黑" w:hAnsi="微软雅黑" w:eastAsia="微软雅黑" w:cs="微软雅黑"/>
          <w:spacing w:val="-5"/>
          <w:sz w:val="24"/>
          <w:szCs w:val="24"/>
          <w:highlight w:val="none"/>
          <w:lang w:eastAsia="zh-CN"/>
        </w:rPr>
      </w:pPr>
    </w:p>
    <w:p w14:paraId="1BCE34EA">
      <w:pPr>
        <w:spacing w:before="103" w:line="194" w:lineRule="auto"/>
        <w:ind w:left="18"/>
        <w:outlineLvl w:val="0"/>
        <w:rPr>
          <w:rFonts w:ascii="微软雅黑" w:hAnsi="微软雅黑" w:eastAsia="微软雅黑" w:cs="微软雅黑"/>
          <w:sz w:val="24"/>
          <w:szCs w:val="24"/>
          <w:highlight w:val="none"/>
        </w:rPr>
      </w:pPr>
      <w:bookmarkStart w:id="15" w:name="bookmark16"/>
      <w:bookmarkEnd w:id="15"/>
      <w:r>
        <w:rPr>
          <w:rFonts w:ascii="微软雅黑" w:hAnsi="微软雅黑" w:eastAsia="微软雅黑" w:cs="微软雅黑"/>
          <w:b/>
          <w:bCs/>
          <w:spacing w:val="-2"/>
          <w:sz w:val="24"/>
          <w:szCs w:val="24"/>
          <w:highlight w:val="none"/>
        </w:rPr>
        <w:t>5、员工职业健康与安全培训</w:t>
      </w:r>
    </w:p>
    <w:p w14:paraId="0F11C9E0">
      <w:pPr>
        <w:pStyle w:val="3"/>
        <w:spacing w:line="335" w:lineRule="auto"/>
        <w:rPr>
          <w:highlight w:val="none"/>
        </w:rPr>
      </w:pPr>
    </w:p>
    <w:p w14:paraId="4C12CBF9">
      <w:pPr>
        <w:spacing w:before="103" w:line="225" w:lineRule="auto"/>
        <w:ind w:left="1" w:firstLine="480"/>
        <w:jc w:val="both"/>
        <w:rPr>
          <w:rFonts w:ascii="微软雅黑" w:hAnsi="微软雅黑" w:eastAsia="微软雅黑" w:cs="微软雅黑"/>
          <w:sz w:val="24"/>
          <w:szCs w:val="24"/>
          <w:highlight w:val="none"/>
        </w:rPr>
      </w:pPr>
      <w:r>
        <w:rPr>
          <w:highlight w:val="none"/>
        </w:rPr>
        <w:fldChar w:fldCharType="begin"/>
      </w:r>
      <w:r>
        <w:rPr>
          <w:highlight w:val="none"/>
        </w:rPr>
        <w:instrText xml:space="preserve"> HYPERLINK "http://www.ttcheer.com/Projects/hsepx.html" </w:instrText>
      </w:r>
      <w:r>
        <w:rPr>
          <w:highlight w:val="none"/>
        </w:rPr>
        <w:fldChar w:fldCharType="separate"/>
      </w:r>
      <w:r>
        <w:rPr>
          <w:rFonts w:ascii="微软雅黑" w:hAnsi="微软雅黑" w:eastAsia="微软雅黑" w:cs="微软雅黑"/>
          <w:spacing w:val="1"/>
          <w:sz w:val="24"/>
          <w:szCs w:val="24"/>
          <w:highlight w:val="none"/>
        </w:rPr>
        <w:t>公司严格执行《生产经营单位安全培训规定》的</w:t>
      </w:r>
      <w:r>
        <w:rPr>
          <w:rFonts w:ascii="微软雅黑" w:hAnsi="微软雅黑" w:eastAsia="微软雅黑" w:cs="微软雅黑"/>
          <w:sz w:val="24"/>
          <w:szCs w:val="24"/>
          <w:highlight w:val="none"/>
        </w:rPr>
        <w:t>法规要求，对从业人员进行职业健康与安</w:t>
      </w:r>
      <w:r>
        <w:rPr>
          <w:rFonts w:ascii="微软雅黑" w:hAnsi="微软雅黑" w:eastAsia="微软雅黑" w:cs="微软雅黑"/>
          <w:sz w:val="24"/>
          <w:szCs w:val="24"/>
          <w:highlight w:val="none"/>
        </w:rPr>
        <w:fldChar w:fldCharType="end"/>
      </w:r>
      <w:r>
        <w:rPr>
          <w:highlight w:val="none"/>
        </w:rPr>
        <w:fldChar w:fldCharType="begin"/>
      </w:r>
      <w:r>
        <w:rPr>
          <w:highlight w:val="none"/>
        </w:rPr>
        <w:instrText xml:space="preserve"> HYPERLINK "http://www.ttcheer.com/Projects/hsepx.html" </w:instrText>
      </w:r>
      <w:r>
        <w:rPr>
          <w:highlight w:val="none"/>
        </w:rPr>
        <w:fldChar w:fldCharType="separate"/>
      </w:r>
      <w:r>
        <w:rPr>
          <w:rFonts w:ascii="微软雅黑" w:hAnsi="微软雅黑" w:eastAsia="微软雅黑" w:cs="微软雅黑"/>
          <w:sz w:val="24"/>
          <w:szCs w:val="24"/>
          <w:highlight w:val="none"/>
        </w:rPr>
        <w:t>全培训，</w:t>
      </w:r>
      <w:r>
        <w:rPr>
          <w:rFonts w:ascii="微软雅黑" w:hAnsi="微软雅黑" w:eastAsia="微软雅黑" w:cs="微软雅黑"/>
          <w:sz w:val="24"/>
          <w:szCs w:val="24"/>
          <w:highlight w:val="none"/>
        </w:rPr>
        <w:fldChar w:fldCharType="end"/>
      </w:r>
      <w:r>
        <w:rPr>
          <w:rFonts w:ascii="微软雅黑" w:hAnsi="微软雅黑" w:eastAsia="微软雅黑" w:cs="微软雅黑"/>
          <w:sz w:val="24"/>
          <w:szCs w:val="24"/>
          <w:highlight w:val="none"/>
        </w:rPr>
        <w:t>主要涉及到6个方面：管理人员</w:t>
      </w:r>
      <w:r>
        <w:rPr>
          <w:rFonts w:ascii="微软雅黑" w:hAnsi="微软雅黑" w:eastAsia="微软雅黑" w:cs="微软雅黑"/>
          <w:spacing w:val="-1"/>
          <w:sz w:val="24"/>
          <w:szCs w:val="24"/>
          <w:highlight w:val="none"/>
        </w:rPr>
        <w:t>培训、在职员工培训、新入职员工培训、其他人员培</w:t>
      </w:r>
      <w:r>
        <w:rPr>
          <w:rFonts w:ascii="微软雅黑" w:hAnsi="微软雅黑" w:eastAsia="微软雅黑" w:cs="微软雅黑"/>
          <w:spacing w:val="-3"/>
          <w:sz w:val="24"/>
          <w:szCs w:val="24"/>
          <w:highlight w:val="none"/>
        </w:rPr>
        <w:t>训、日常安全教育、培训教育管理。</w:t>
      </w:r>
    </w:p>
    <w:p w14:paraId="666A25CC">
      <w:pPr>
        <w:spacing w:before="77" w:line="217" w:lineRule="auto"/>
        <w:ind w:left="2" w:right="3" w:firstLine="479"/>
        <w:jc w:val="both"/>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管理人员培训，包含：国家安全生产方针、法律、法规和标准；企业安全生</w:t>
      </w:r>
      <w:r>
        <w:rPr>
          <w:rFonts w:ascii="微软雅黑" w:hAnsi="微软雅黑" w:eastAsia="微软雅黑" w:cs="微软雅黑"/>
          <w:spacing w:val="-1"/>
          <w:sz w:val="24"/>
          <w:szCs w:val="24"/>
          <w:highlight w:val="none"/>
        </w:rPr>
        <w:t>产规章制度及</w:t>
      </w:r>
      <w:r>
        <w:rPr>
          <w:rFonts w:ascii="微软雅黑" w:hAnsi="微软雅黑" w:eastAsia="微软雅黑" w:cs="微软雅黑"/>
          <w:spacing w:val="-2"/>
          <w:sz w:val="24"/>
          <w:szCs w:val="24"/>
          <w:highlight w:val="none"/>
        </w:rPr>
        <w:t>职责；安全管理、安全技术、职业卫生等知识；事故案例及事故应急管理等。</w:t>
      </w:r>
    </w:p>
    <w:p w14:paraId="1E532EF2">
      <w:pPr>
        <w:spacing w:before="77" w:line="225" w:lineRule="auto"/>
        <w:ind w:right="1" w:firstLine="480"/>
        <w:jc w:val="both"/>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在职员工培训，包含：安全生产知识；安全生产规章制度和安全操作规程；掌握本岗位安</w:t>
      </w:r>
      <w:r>
        <w:rPr>
          <w:rFonts w:ascii="微软雅黑" w:hAnsi="微软雅黑" w:eastAsia="微软雅黑" w:cs="微软雅黑"/>
          <w:spacing w:val="-3"/>
          <w:sz w:val="24"/>
          <w:szCs w:val="24"/>
          <w:highlight w:val="none"/>
        </w:rPr>
        <w:t>全操作技能。其中，特种作业人员的培训需要注意：必须参加专门的安全作业培训；取得特种作业操作资格证书；按规定参加复审。</w:t>
      </w:r>
    </w:p>
    <w:p w14:paraId="3154CE4D">
      <w:pPr>
        <w:spacing w:before="80" w:line="193" w:lineRule="auto"/>
        <w:ind w:left="481"/>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新入职员工培训：必须实施“公司级、车间级、班组级”三级安全培训。</w:t>
      </w:r>
    </w:p>
    <w:p w14:paraId="2E751D88">
      <w:pPr>
        <w:spacing w:before="80" w:line="217" w:lineRule="auto"/>
        <w:ind w:left="4" w:firstLine="477"/>
        <w:jc w:val="both"/>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其他人员培训，包括：转岗、脱离岗位6个月以上者、外来参观人员、学习人员、外来施</w:t>
      </w:r>
      <w:r>
        <w:rPr>
          <w:rFonts w:ascii="微软雅黑" w:hAnsi="微软雅黑" w:eastAsia="微软雅黑" w:cs="微软雅黑"/>
          <w:spacing w:val="-7"/>
          <w:sz w:val="24"/>
          <w:szCs w:val="24"/>
          <w:highlight w:val="none"/>
        </w:rPr>
        <w:t>工单位的培训。</w:t>
      </w:r>
    </w:p>
    <w:p w14:paraId="4686D10F">
      <w:pPr>
        <w:spacing w:before="82" w:line="228" w:lineRule="auto"/>
        <w:ind w:right="1" w:firstLine="514"/>
        <w:jc w:val="both"/>
        <w:rPr>
          <w:rFonts w:ascii="微软雅黑" w:hAnsi="微软雅黑" w:eastAsia="微软雅黑" w:cs="微软雅黑"/>
          <w:sz w:val="24"/>
          <w:szCs w:val="24"/>
          <w:highlight w:val="none"/>
        </w:rPr>
      </w:pPr>
      <w:r>
        <w:rPr>
          <w:rFonts w:ascii="微软雅黑" w:hAnsi="微软雅黑" w:eastAsia="微软雅黑" w:cs="微软雅黑"/>
          <w:spacing w:val="-13"/>
          <w:sz w:val="24"/>
          <w:szCs w:val="24"/>
          <w:highlight w:val="none"/>
        </w:rPr>
        <w:t>日常安全教育，包含：学习国家和政府的有关安全生产法律法规；学</w:t>
      </w:r>
      <w:r>
        <w:rPr>
          <w:rFonts w:ascii="微软雅黑" w:hAnsi="微软雅黑" w:eastAsia="微软雅黑" w:cs="微软雅黑"/>
          <w:spacing w:val="-14"/>
          <w:sz w:val="24"/>
          <w:szCs w:val="24"/>
          <w:highlight w:val="none"/>
        </w:rPr>
        <w:t>习有关安全生产文件、</w:t>
      </w:r>
      <w:r>
        <w:rPr>
          <w:rFonts w:ascii="微软雅黑" w:hAnsi="微软雅黑" w:eastAsia="微软雅黑" w:cs="微软雅黑"/>
          <w:spacing w:val="-3"/>
          <w:sz w:val="24"/>
          <w:szCs w:val="24"/>
          <w:highlight w:val="none"/>
        </w:rPr>
        <w:t>安全通报、安全生产规章制度、安全操作规程及安全生产知识；讨论分析典型事故案例，总结</w:t>
      </w:r>
      <w:r>
        <w:rPr>
          <w:rFonts w:ascii="微软雅黑" w:hAnsi="微软雅黑" w:eastAsia="微软雅黑" w:cs="微软雅黑"/>
          <w:sz w:val="24"/>
          <w:szCs w:val="24"/>
          <w:highlight w:val="none"/>
        </w:rPr>
        <w:t>和吸取事故教训；开展查隐患、反习惯性违章活动；熟悉作业场所和工作岗位存在的风险、防</w:t>
      </w:r>
      <w:r>
        <w:rPr>
          <w:rFonts w:ascii="微软雅黑" w:hAnsi="微软雅黑" w:eastAsia="微软雅黑" w:cs="微软雅黑"/>
          <w:spacing w:val="-3"/>
          <w:sz w:val="24"/>
          <w:szCs w:val="24"/>
          <w:highlight w:val="none"/>
        </w:rPr>
        <w:t>范控制措施；紧急疏散演练；其他安全活动。</w:t>
      </w:r>
    </w:p>
    <w:p w14:paraId="3B8B39E3">
      <w:pPr>
        <w:spacing w:before="79" w:line="194" w:lineRule="auto"/>
        <w:ind w:left="481"/>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培训教育管理，包括：制定培训计划、做好培训验证、整理培训档</w:t>
      </w:r>
      <w:r>
        <w:rPr>
          <w:rFonts w:ascii="微软雅黑" w:hAnsi="微软雅黑" w:eastAsia="微软雅黑" w:cs="微软雅黑"/>
          <w:spacing w:val="-2"/>
          <w:sz w:val="24"/>
          <w:szCs w:val="24"/>
          <w:highlight w:val="none"/>
        </w:rPr>
        <w:t>案、保存变更记录等。</w:t>
      </w:r>
    </w:p>
    <w:p w14:paraId="44F13245">
      <w:pPr>
        <w:spacing w:before="81" w:line="224" w:lineRule="auto"/>
        <w:ind w:right="1" w:firstLine="481"/>
        <w:jc w:val="both"/>
        <w:rPr>
          <w:rFonts w:ascii="微软雅黑" w:hAnsi="微软雅黑" w:eastAsia="微软雅黑" w:cs="微软雅黑"/>
          <w:sz w:val="24"/>
          <w:szCs w:val="24"/>
          <w:highlight w:val="none"/>
        </w:rPr>
      </w:pPr>
      <w:r>
        <w:rPr>
          <w:rFonts w:ascii="微软雅黑" w:hAnsi="微软雅黑" w:eastAsia="微软雅黑" w:cs="微软雅黑"/>
          <w:color w:val="auto"/>
          <w:spacing w:val="-4"/>
          <w:sz w:val="24"/>
          <w:szCs w:val="24"/>
          <w:highlight w:val="none"/>
        </w:rPr>
        <w:t>在202</w:t>
      </w:r>
      <w:r>
        <w:rPr>
          <w:rFonts w:hint="eastAsia" w:ascii="微软雅黑" w:hAnsi="微软雅黑" w:eastAsia="微软雅黑" w:cs="微软雅黑"/>
          <w:color w:val="auto"/>
          <w:spacing w:val="-4"/>
          <w:sz w:val="24"/>
          <w:szCs w:val="24"/>
          <w:highlight w:val="none"/>
          <w:lang w:val="en-US" w:eastAsia="zh-CN"/>
        </w:rPr>
        <w:t>3</w:t>
      </w:r>
      <w:r>
        <w:rPr>
          <w:rFonts w:ascii="微软雅黑" w:hAnsi="微软雅黑" w:eastAsia="微软雅黑" w:cs="微软雅黑"/>
          <w:color w:val="auto"/>
          <w:spacing w:val="-4"/>
          <w:sz w:val="24"/>
          <w:szCs w:val="24"/>
          <w:highlight w:val="none"/>
        </w:rPr>
        <w:t>年，职业健康与安全培训和教育</w:t>
      </w:r>
      <w:r>
        <w:rPr>
          <w:rFonts w:hint="eastAsia" w:ascii="微软雅黑" w:hAnsi="微软雅黑" w:eastAsia="微软雅黑" w:cs="微软雅黑"/>
          <w:color w:val="auto"/>
          <w:spacing w:val="-4"/>
          <w:sz w:val="24"/>
          <w:szCs w:val="24"/>
          <w:highlight w:val="none"/>
          <w:lang w:val="en-US" w:eastAsia="zh-CN"/>
        </w:rPr>
        <w:t>约1640</w:t>
      </w:r>
      <w:r>
        <w:rPr>
          <w:rFonts w:ascii="微软雅黑" w:hAnsi="微软雅黑" w:eastAsia="微软雅黑" w:cs="微软雅黑"/>
          <w:color w:val="auto"/>
          <w:spacing w:val="-4"/>
          <w:sz w:val="24"/>
          <w:szCs w:val="24"/>
          <w:highlight w:val="none"/>
        </w:rPr>
        <w:t>人</w:t>
      </w:r>
      <w:r>
        <w:rPr>
          <w:rFonts w:hint="eastAsia" w:ascii="微软雅黑" w:hAnsi="微软雅黑" w:eastAsia="微软雅黑" w:cs="微软雅黑"/>
          <w:color w:val="auto"/>
          <w:spacing w:val="-4"/>
          <w:sz w:val="24"/>
          <w:szCs w:val="24"/>
          <w:highlight w:val="none"/>
          <w:lang w:val="en-US" w:eastAsia="zh-CN"/>
        </w:rPr>
        <w:t>次</w:t>
      </w:r>
      <w:r>
        <w:rPr>
          <w:rFonts w:ascii="微软雅黑" w:hAnsi="微软雅黑" w:eastAsia="微软雅黑" w:cs="微软雅黑"/>
          <w:color w:val="auto"/>
          <w:spacing w:val="-4"/>
          <w:sz w:val="24"/>
          <w:szCs w:val="24"/>
          <w:highlight w:val="none"/>
        </w:rPr>
        <w:t>，培训合格</w:t>
      </w:r>
      <w:r>
        <w:rPr>
          <w:rFonts w:ascii="微软雅黑" w:hAnsi="微软雅黑" w:eastAsia="微软雅黑" w:cs="微软雅黑"/>
          <w:color w:val="auto"/>
          <w:spacing w:val="-5"/>
          <w:sz w:val="24"/>
          <w:szCs w:val="24"/>
          <w:highlight w:val="none"/>
        </w:rPr>
        <w:t>率100%；</w:t>
      </w:r>
      <w:r>
        <w:rPr>
          <w:rFonts w:ascii="微软雅黑" w:hAnsi="微软雅黑" w:eastAsia="微软雅黑" w:cs="微软雅黑"/>
          <w:spacing w:val="-5"/>
          <w:sz w:val="24"/>
          <w:szCs w:val="24"/>
          <w:highlight w:val="none"/>
        </w:rPr>
        <w:t>全年开展综合应急演</w:t>
      </w:r>
      <w:r>
        <w:rPr>
          <w:rFonts w:ascii="微软雅黑" w:hAnsi="微软雅黑" w:eastAsia="微软雅黑" w:cs="微软雅黑"/>
          <w:spacing w:val="-3"/>
          <w:sz w:val="24"/>
          <w:szCs w:val="24"/>
          <w:highlight w:val="none"/>
        </w:rPr>
        <w:t>练一次，</w:t>
      </w:r>
      <w:r>
        <w:rPr>
          <w:rFonts w:hint="eastAsia" w:ascii="微软雅黑" w:hAnsi="微软雅黑" w:eastAsia="微软雅黑" w:cs="微软雅黑"/>
          <w:spacing w:val="-3"/>
          <w:sz w:val="24"/>
          <w:szCs w:val="24"/>
          <w:highlight w:val="none"/>
          <w:lang w:val="en-US" w:eastAsia="zh-CN"/>
        </w:rPr>
        <w:t>冷轧</w:t>
      </w:r>
      <w:r>
        <w:rPr>
          <w:rFonts w:ascii="微软雅黑" w:hAnsi="微软雅黑" w:eastAsia="微软雅黑" w:cs="微软雅黑"/>
          <w:spacing w:val="-3"/>
          <w:sz w:val="24"/>
          <w:szCs w:val="24"/>
          <w:highlight w:val="none"/>
        </w:rPr>
        <w:t>车间开展</w:t>
      </w:r>
      <w:r>
        <w:rPr>
          <w:rFonts w:hint="eastAsia" w:ascii="微软雅黑" w:hAnsi="微软雅黑" w:eastAsia="微软雅黑" w:cs="微软雅黑"/>
          <w:spacing w:val="-3"/>
          <w:sz w:val="24"/>
          <w:szCs w:val="24"/>
          <w:highlight w:val="none"/>
          <w:lang w:val="en-US" w:eastAsia="zh-CN"/>
        </w:rPr>
        <w:t>10</w:t>
      </w:r>
      <w:r>
        <w:rPr>
          <w:rFonts w:ascii="微软雅黑" w:hAnsi="微软雅黑" w:eastAsia="微软雅黑" w:cs="微软雅黑"/>
          <w:spacing w:val="-3"/>
          <w:sz w:val="24"/>
          <w:szCs w:val="24"/>
          <w:highlight w:val="none"/>
        </w:rPr>
        <w:t>次灭火演练，有限空间专项处置演练</w:t>
      </w:r>
      <w:r>
        <w:rPr>
          <w:rFonts w:hint="eastAsia" w:ascii="微软雅黑" w:hAnsi="微软雅黑" w:eastAsia="微软雅黑" w:cs="微软雅黑"/>
          <w:spacing w:val="-3"/>
          <w:sz w:val="24"/>
          <w:szCs w:val="24"/>
          <w:highlight w:val="none"/>
          <w:lang w:val="en-US" w:eastAsia="zh-CN"/>
        </w:rPr>
        <w:t>1次</w:t>
      </w:r>
      <w:r>
        <w:rPr>
          <w:rFonts w:ascii="微软雅黑" w:hAnsi="微软雅黑" w:eastAsia="微软雅黑" w:cs="微软雅黑"/>
          <w:sz w:val="24"/>
          <w:szCs w:val="24"/>
          <w:highlight w:val="none"/>
        </w:rPr>
        <w:t>，召开</w:t>
      </w:r>
      <w:r>
        <w:rPr>
          <w:rFonts w:hint="eastAsia" w:ascii="微软雅黑" w:hAnsi="微软雅黑" w:eastAsia="微软雅黑" w:cs="微软雅黑"/>
          <w:sz w:val="24"/>
          <w:szCs w:val="24"/>
          <w:highlight w:val="none"/>
          <w:lang w:val="en-US" w:eastAsia="zh-CN"/>
        </w:rPr>
        <w:t>12</w:t>
      </w:r>
      <w:r>
        <w:rPr>
          <w:rFonts w:ascii="微软雅黑" w:hAnsi="微软雅黑" w:eastAsia="微软雅黑" w:cs="微软雅黑"/>
          <w:sz w:val="24"/>
          <w:szCs w:val="24"/>
          <w:highlight w:val="none"/>
        </w:rPr>
        <w:t>次安全例会，组织</w:t>
      </w:r>
      <w:r>
        <w:rPr>
          <w:rFonts w:hint="eastAsia" w:ascii="微软雅黑" w:hAnsi="微软雅黑" w:eastAsia="微软雅黑" w:cs="微软雅黑"/>
          <w:sz w:val="24"/>
          <w:szCs w:val="24"/>
          <w:highlight w:val="none"/>
          <w:lang w:val="en-US" w:eastAsia="zh-CN"/>
        </w:rPr>
        <w:t>开展</w:t>
      </w:r>
      <w:r>
        <w:rPr>
          <w:rFonts w:ascii="微软雅黑" w:hAnsi="微软雅黑" w:eastAsia="微软雅黑" w:cs="微软雅黑"/>
          <w:sz w:val="24"/>
          <w:szCs w:val="24"/>
          <w:highlight w:val="none"/>
        </w:rPr>
        <w:t>安全生产月</w:t>
      </w:r>
      <w:r>
        <w:rPr>
          <w:rFonts w:ascii="微软雅黑" w:hAnsi="微软雅黑" w:eastAsia="微软雅黑" w:cs="微软雅黑"/>
          <w:spacing w:val="-1"/>
          <w:sz w:val="24"/>
          <w:szCs w:val="24"/>
          <w:highlight w:val="none"/>
        </w:rPr>
        <w:t>活动。</w:t>
      </w:r>
    </w:p>
    <w:p w14:paraId="17968A4A">
      <w:pPr>
        <w:pStyle w:val="3"/>
        <w:spacing w:line="250" w:lineRule="auto"/>
        <w:rPr>
          <w:highlight w:val="none"/>
        </w:rPr>
      </w:pPr>
    </w:p>
    <w:p w14:paraId="7D415AC1">
      <w:pPr>
        <w:pStyle w:val="3"/>
        <w:spacing w:line="251" w:lineRule="auto"/>
        <w:rPr>
          <w:highlight w:val="none"/>
        </w:rPr>
      </w:pPr>
    </w:p>
    <w:p w14:paraId="237B4A03">
      <w:pPr>
        <w:pStyle w:val="3"/>
        <w:spacing w:line="251" w:lineRule="auto"/>
        <w:rPr>
          <w:highlight w:val="none"/>
        </w:rPr>
      </w:pPr>
    </w:p>
    <w:p w14:paraId="1ECACD87">
      <w:pPr>
        <w:spacing w:before="104" w:line="194" w:lineRule="auto"/>
        <w:ind w:left="11"/>
        <w:outlineLvl w:val="0"/>
        <w:rPr>
          <w:rFonts w:ascii="微软雅黑" w:hAnsi="微软雅黑" w:eastAsia="微软雅黑" w:cs="微软雅黑"/>
          <w:sz w:val="24"/>
          <w:szCs w:val="24"/>
          <w:highlight w:val="none"/>
        </w:rPr>
      </w:pPr>
      <w:bookmarkStart w:id="16" w:name="bookmark17"/>
      <w:bookmarkEnd w:id="16"/>
      <w:r>
        <w:rPr>
          <w:rFonts w:ascii="微软雅黑" w:hAnsi="微软雅黑" w:eastAsia="微软雅黑" w:cs="微软雅黑"/>
          <w:b/>
          <w:bCs/>
          <w:spacing w:val="-2"/>
          <w:sz w:val="24"/>
          <w:szCs w:val="24"/>
          <w:highlight w:val="none"/>
        </w:rPr>
        <w:t>6、促进员工健康</w:t>
      </w:r>
    </w:p>
    <w:p w14:paraId="30AD68D0">
      <w:pPr>
        <w:pStyle w:val="3"/>
        <w:spacing w:line="338" w:lineRule="auto"/>
        <w:rPr>
          <w:highlight w:val="none"/>
        </w:rPr>
      </w:pPr>
    </w:p>
    <w:p w14:paraId="36114A80">
      <w:pPr>
        <w:spacing w:before="103" w:line="217" w:lineRule="auto"/>
        <w:ind w:left="1" w:firstLine="479"/>
        <w:jc w:val="both"/>
        <w:rPr>
          <w:rFonts w:ascii="微软雅黑" w:hAnsi="微软雅黑" w:eastAsia="微软雅黑" w:cs="微软雅黑"/>
          <w:color w:val="FF0000"/>
          <w:sz w:val="24"/>
          <w:szCs w:val="24"/>
          <w:highlight w:val="none"/>
        </w:rPr>
      </w:pPr>
      <w:r>
        <w:rPr>
          <w:rFonts w:ascii="微软雅黑" w:hAnsi="微软雅黑" w:eastAsia="微软雅黑" w:cs="微软雅黑"/>
          <w:spacing w:val="-5"/>
          <w:sz w:val="24"/>
          <w:szCs w:val="24"/>
          <w:highlight w:val="none"/>
        </w:rPr>
        <w:t>在202</w:t>
      </w:r>
      <w:r>
        <w:rPr>
          <w:rFonts w:hint="eastAsia" w:ascii="微软雅黑" w:hAnsi="微软雅黑" w:eastAsia="微软雅黑" w:cs="微软雅黑"/>
          <w:spacing w:val="-5"/>
          <w:sz w:val="24"/>
          <w:szCs w:val="24"/>
          <w:highlight w:val="none"/>
          <w:lang w:val="en-US" w:eastAsia="zh-CN"/>
        </w:rPr>
        <w:t>3</w:t>
      </w:r>
      <w:r>
        <w:rPr>
          <w:rFonts w:ascii="微软雅黑" w:hAnsi="微软雅黑" w:eastAsia="微软雅黑" w:cs="微软雅黑"/>
          <w:spacing w:val="-5"/>
          <w:sz w:val="24"/>
          <w:szCs w:val="24"/>
          <w:highlight w:val="none"/>
        </w:rPr>
        <w:t>年，</w:t>
      </w:r>
      <w:r>
        <w:rPr>
          <w:rFonts w:ascii="微软雅黑" w:hAnsi="微软雅黑" w:eastAsia="微软雅黑" w:cs="微软雅黑"/>
          <w:color w:val="auto"/>
          <w:spacing w:val="-5"/>
          <w:sz w:val="24"/>
          <w:szCs w:val="24"/>
          <w:highlight w:val="none"/>
        </w:rPr>
        <w:t>公司缴纳工伤保险人数</w:t>
      </w:r>
      <w:r>
        <w:rPr>
          <w:rFonts w:hint="eastAsia" w:ascii="微软雅黑" w:hAnsi="微软雅黑" w:eastAsia="微软雅黑" w:cs="微软雅黑"/>
          <w:color w:val="auto"/>
          <w:spacing w:val="-5"/>
          <w:sz w:val="24"/>
          <w:szCs w:val="24"/>
          <w:highlight w:val="none"/>
          <w:lang w:val="en-US" w:eastAsia="zh-CN"/>
        </w:rPr>
        <w:t>157</w:t>
      </w:r>
      <w:r>
        <w:rPr>
          <w:rFonts w:ascii="微软雅黑" w:hAnsi="微软雅黑" w:eastAsia="微软雅黑" w:cs="微软雅黑"/>
          <w:color w:val="auto"/>
          <w:spacing w:val="-5"/>
          <w:sz w:val="24"/>
          <w:szCs w:val="24"/>
          <w:highlight w:val="none"/>
        </w:rPr>
        <w:t>人，覆盖率100%</w:t>
      </w:r>
      <w:r>
        <w:rPr>
          <w:rFonts w:hint="eastAsia" w:ascii="微软雅黑" w:hAnsi="微软雅黑" w:eastAsia="微软雅黑" w:cs="微软雅黑"/>
          <w:color w:val="auto"/>
          <w:spacing w:val="-5"/>
          <w:sz w:val="24"/>
          <w:szCs w:val="24"/>
          <w:highlight w:val="none"/>
          <w:lang w:val="en-US" w:eastAsia="zh-CN"/>
        </w:rPr>
        <w:t xml:space="preserve"> </w:t>
      </w:r>
      <w:r>
        <w:rPr>
          <w:rFonts w:ascii="微软雅黑" w:hAnsi="微软雅黑" w:eastAsia="微软雅黑" w:cs="微软雅黑"/>
          <w:color w:val="auto"/>
          <w:spacing w:val="-2"/>
          <w:sz w:val="24"/>
          <w:szCs w:val="24"/>
          <w:highlight w:val="none"/>
        </w:rPr>
        <w:t>。</w:t>
      </w:r>
    </w:p>
    <w:p w14:paraId="1E86C653">
      <w:pPr>
        <w:spacing w:before="78" w:line="217" w:lineRule="auto"/>
        <w:ind w:left="13" w:right="1" w:firstLine="467"/>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在202</w:t>
      </w:r>
      <w:r>
        <w:rPr>
          <w:rFonts w:hint="eastAsia" w:ascii="微软雅黑" w:hAnsi="微软雅黑" w:eastAsia="微软雅黑" w:cs="微软雅黑"/>
          <w:spacing w:val="-3"/>
          <w:sz w:val="24"/>
          <w:szCs w:val="24"/>
          <w:highlight w:val="none"/>
          <w:lang w:val="en-US" w:eastAsia="zh-CN"/>
        </w:rPr>
        <w:t>3</w:t>
      </w:r>
      <w:r>
        <w:rPr>
          <w:rFonts w:ascii="微软雅黑" w:hAnsi="微软雅黑" w:eastAsia="微软雅黑" w:cs="微软雅黑"/>
          <w:spacing w:val="-4"/>
          <w:sz w:val="24"/>
          <w:szCs w:val="24"/>
          <w:highlight w:val="none"/>
        </w:rPr>
        <w:t>年，公司配置</w:t>
      </w:r>
      <w:r>
        <w:rPr>
          <w:rFonts w:hint="eastAsia" w:ascii="微软雅黑" w:hAnsi="微软雅黑" w:eastAsia="微软雅黑" w:cs="微软雅黑"/>
          <w:spacing w:val="-4"/>
          <w:sz w:val="24"/>
          <w:szCs w:val="24"/>
          <w:highlight w:val="none"/>
          <w:lang w:val="en-US" w:eastAsia="zh-CN"/>
        </w:rPr>
        <w:t>3</w:t>
      </w:r>
      <w:r>
        <w:rPr>
          <w:rFonts w:ascii="微软雅黑" w:hAnsi="微软雅黑" w:eastAsia="微软雅黑" w:cs="微软雅黑"/>
          <w:spacing w:val="-4"/>
          <w:sz w:val="24"/>
          <w:szCs w:val="24"/>
          <w:highlight w:val="none"/>
        </w:rPr>
        <w:t>个急救药箱、</w:t>
      </w:r>
      <w:r>
        <w:rPr>
          <w:rFonts w:ascii="微软雅黑" w:hAnsi="微软雅黑" w:eastAsia="微软雅黑" w:cs="微软雅黑"/>
          <w:spacing w:val="-5"/>
          <w:sz w:val="24"/>
          <w:szCs w:val="24"/>
          <w:highlight w:val="none"/>
        </w:rPr>
        <w:t>1个洗眼器，并定期维护，确保员工发生意外时可</w:t>
      </w:r>
      <w:r>
        <w:rPr>
          <w:rFonts w:ascii="微软雅黑" w:hAnsi="微软雅黑" w:eastAsia="微软雅黑" w:cs="微软雅黑"/>
          <w:spacing w:val="-3"/>
          <w:sz w:val="24"/>
          <w:szCs w:val="24"/>
          <w:highlight w:val="none"/>
        </w:rPr>
        <w:t>以第一时间获得急救药品或急救装备/设施。</w:t>
      </w:r>
    </w:p>
    <w:p w14:paraId="56C1125B">
      <w:pPr>
        <w:spacing w:before="78" w:line="189" w:lineRule="auto"/>
        <w:ind w:left="210" w:leftChars="100" w:firstLine="456" w:firstLineChars="200"/>
        <w:jc w:val="left"/>
        <w:rPr>
          <w:rFonts w:ascii="微软雅黑" w:hAnsi="微软雅黑" w:eastAsia="微软雅黑" w:cs="微软雅黑"/>
          <w:sz w:val="24"/>
          <w:szCs w:val="24"/>
          <w:highlight w:val="none"/>
        </w:rPr>
      </w:pPr>
      <w:r>
        <w:rPr>
          <w:rFonts w:ascii="微软雅黑" w:hAnsi="微软雅黑" w:eastAsia="微软雅黑" w:cs="微软雅黑"/>
          <w:color w:val="auto"/>
          <w:spacing w:val="-6"/>
          <w:sz w:val="24"/>
          <w:szCs w:val="24"/>
          <w:highlight w:val="none"/>
        </w:rPr>
        <w:t>在202</w:t>
      </w:r>
      <w:r>
        <w:rPr>
          <w:rFonts w:hint="eastAsia" w:ascii="微软雅黑" w:hAnsi="微软雅黑" w:eastAsia="微软雅黑" w:cs="微软雅黑"/>
          <w:color w:val="auto"/>
          <w:spacing w:val="-6"/>
          <w:sz w:val="24"/>
          <w:szCs w:val="24"/>
          <w:highlight w:val="none"/>
          <w:lang w:val="en-US" w:eastAsia="zh-CN"/>
        </w:rPr>
        <w:t>3</w:t>
      </w:r>
      <w:r>
        <w:rPr>
          <w:rFonts w:ascii="微软雅黑" w:hAnsi="微软雅黑" w:eastAsia="微软雅黑" w:cs="微软雅黑"/>
          <w:color w:val="auto"/>
          <w:spacing w:val="-6"/>
          <w:sz w:val="24"/>
          <w:szCs w:val="24"/>
          <w:highlight w:val="none"/>
        </w:rPr>
        <w:t>年，公司为</w:t>
      </w:r>
      <w:r>
        <w:rPr>
          <w:rFonts w:hint="eastAsia" w:ascii="微软雅黑" w:hAnsi="微软雅黑" w:eastAsia="微软雅黑" w:cs="微软雅黑"/>
          <w:color w:val="auto"/>
          <w:spacing w:val="-6"/>
          <w:sz w:val="24"/>
          <w:szCs w:val="24"/>
          <w:highlight w:val="none"/>
          <w:lang w:val="en-US" w:eastAsia="zh-CN"/>
        </w:rPr>
        <w:t>非职业危害因素岗位</w:t>
      </w:r>
      <w:r>
        <w:rPr>
          <w:rFonts w:ascii="微软雅黑" w:hAnsi="微软雅黑" w:eastAsia="微软雅黑" w:cs="微软雅黑"/>
          <w:color w:val="auto"/>
          <w:spacing w:val="-6"/>
          <w:sz w:val="24"/>
          <w:szCs w:val="24"/>
          <w:highlight w:val="none"/>
        </w:rPr>
        <w:t>员工提供在岗免费医疗体检服务（常规体检</w:t>
      </w:r>
      <w:r>
        <w:rPr>
          <w:rFonts w:ascii="微软雅黑" w:hAnsi="微软雅黑" w:eastAsia="微软雅黑" w:cs="微软雅黑"/>
          <w:color w:val="auto"/>
          <w:spacing w:val="-22"/>
          <w:sz w:val="24"/>
          <w:szCs w:val="24"/>
          <w:highlight w:val="none"/>
        </w:rPr>
        <w:t>），</w:t>
      </w:r>
      <w:r>
        <w:rPr>
          <w:rFonts w:ascii="微软雅黑" w:hAnsi="微软雅黑" w:eastAsia="微软雅黑" w:cs="微软雅黑"/>
          <w:color w:val="auto"/>
          <w:spacing w:val="-6"/>
          <w:sz w:val="24"/>
          <w:szCs w:val="24"/>
          <w:highlight w:val="none"/>
        </w:rPr>
        <w:t>覆盖率1</w:t>
      </w:r>
      <w:r>
        <w:rPr>
          <w:rFonts w:ascii="微软雅黑" w:hAnsi="微软雅黑" w:eastAsia="微软雅黑" w:cs="微软雅黑"/>
          <w:color w:val="auto"/>
          <w:spacing w:val="-7"/>
          <w:sz w:val="24"/>
          <w:szCs w:val="24"/>
          <w:highlight w:val="none"/>
        </w:rPr>
        <w:t>00%，</w:t>
      </w:r>
      <w:r>
        <w:rPr>
          <w:rFonts w:ascii="微软雅黑" w:hAnsi="微软雅黑" w:eastAsia="微软雅黑" w:cs="微软雅黑"/>
          <w:spacing w:val="-4"/>
          <w:sz w:val="24"/>
          <w:szCs w:val="24"/>
          <w:highlight w:val="none"/>
        </w:rPr>
        <w:t>为员工及时发现疾病提供了便利。</w:t>
      </w:r>
    </w:p>
    <w:p w14:paraId="7682512D">
      <w:pPr>
        <w:pStyle w:val="3"/>
        <w:spacing w:line="251" w:lineRule="auto"/>
        <w:rPr>
          <w:highlight w:val="none"/>
        </w:rPr>
      </w:pPr>
    </w:p>
    <w:p w14:paraId="5F2DB235">
      <w:pPr>
        <w:pStyle w:val="3"/>
        <w:spacing w:line="251" w:lineRule="auto"/>
        <w:rPr>
          <w:highlight w:val="none"/>
        </w:rPr>
      </w:pPr>
    </w:p>
    <w:p w14:paraId="78858BDE">
      <w:pPr>
        <w:pStyle w:val="3"/>
        <w:spacing w:line="252" w:lineRule="auto"/>
        <w:rPr>
          <w:highlight w:val="none"/>
        </w:rPr>
      </w:pPr>
    </w:p>
    <w:p w14:paraId="0DFF36F1">
      <w:pPr>
        <w:spacing w:before="103" w:line="193" w:lineRule="auto"/>
        <w:ind w:left="9"/>
        <w:outlineLvl w:val="0"/>
        <w:rPr>
          <w:rFonts w:ascii="微软雅黑" w:hAnsi="微软雅黑" w:eastAsia="微软雅黑" w:cs="微软雅黑"/>
          <w:sz w:val="24"/>
          <w:szCs w:val="24"/>
          <w:highlight w:val="none"/>
        </w:rPr>
      </w:pPr>
      <w:bookmarkStart w:id="17" w:name="bookmark18"/>
      <w:bookmarkEnd w:id="17"/>
      <w:r>
        <w:rPr>
          <w:rFonts w:ascii="微软雅黑" w:hAnsi="微软雅黑" w:eastAsia="微软雅黑" w:cs="微软雅黑"/>
          <w:b/>
          <w:bCs/>
          <w:spacing w:val="-1"/>
          <w:sz w:val="24"/>
          <w:szCs w:val="24"/>
          <w:highlight w:val="none"/>
        </w:rPr>
        <w:t>7、预防和减缓与业务关系直接相关的职业健康与安全影响</w:t>
      </w:r>
    </w:p>
    <w:p w14:paraId="7EBD3FB3">
      <w:pPr>
        <w:pStyle w:val="3"/>
        <w:spacing w:line="337" w:lineRule="auto"/>
        <w:rPr>
          <w:highlight w:val="none"/>
        </w:rPr>
      </w:pPr>
    </w:p>
    <w:p w14:paraId="67165D47">
      <w:pPr>
        <w:spacing w:before="103" w:line="217" w:lineRule="auto"/>
        <w:ind w:left="1" w:right="45" w:firstLine="480"/>
        <w:jc w:val="both"/>
        <w:rPr>
          <w:rFonts w:ascii="微软雅黑" w:hAnsi="微软雅黑" w:eastAsia="微软雅黑" w:cs="微软雅黑"/>
          <w:sz w:val="24"/>
          <w:szCs w:val="24"/>
          <w:highlight w:val="none"/>
        </w:rPr>
      </w:pPr>
      <w:r>
        <w:rPr>
          <w:rFonts w:ascii="微软雅黑" w:hAnsi="微软雅黑" w:eastAsia="微软雅黑" w:cs="微软雅黑"/>
          <w:spacing w:val="-10"/>
          <w:sz w:val="24"/>
          <w:szCs w:val="24"/>
          <w:highlight w:val="none"/>
        </w:rPr>
        <w:t>在202</w:t>
      </w:r>
      <w:r>
        <w:rPr>
          <w:rFonts w:hint="eastAsia" w:ascii="微软雅黑" w:hAnsi="微软雅黑" w:eastAsia="微软雅黑" w:cs="微软雅黑"/>
          <w:spacing w:val="-10"/>
          <w:sz w:val="24"/>
          <w:szCs w:val="24"/>
          <w:highlight w:val="none"/>
          <w:lang w:val="en-US" w:eastAsia="zh-CN"/>
        </w:rPr>
        <w:t>3</w:t>
      </w:r>
      <w:r>
        <w:rPr>
          <w:rFonts w:ascii="微软雅黑" w:hAnsi="微软雅黑" w:eastAsia="微软雅黑" w:cs="微软雅黑"/>
          <w:spacing w:val="-10"/>
          <w:sz w:val="24"/>
          <w:szCs w:val="24"/>
          <w:highlight w:val="none"/>
        </w:rPr>
        <w:t>年，</w:t>
      </w:r>
      <w:r>
        <w:rPr>
          <w:rFonts w:ascii="微软雅黑" w:hAnsi="微软雅黑" w:eastAsia="微软雅黑" w:cs="微软雅黑"/>
          <w:color w:val="auto"/>
          <w:spacing w:val="-10"/>
          <w:sz w:val="24"/>
          <w:szCs w:val="24"/>
          <w:highlight w:val="none"/>
        </w:rPr>
        <w:t>公司举办</w:t>
      </w:r>
      <w:r>
        <w:rPr>
          <w:rFonts w:hint="eastAsia" w:ascii="微软雅黑" w:hAnsi="微软雅黑" w:eastAsia="微软雅黑" w:cs="微软雅黑"/>
          <w:color w:val="auto"/>
          <w:spacing w:val="-10"/>
          <w:sz w:val="24"/>
          <w:szCs w:val="24"/>
          <w:highlight w:val="none"/>
          <w:lang w:val="en-US" w:eastAsia="zh-CN"/>
        </w:rPr>
        <w:t>8</w:t>
      </w:r>
      <w:r>
        <w:rPr>
          <w:rFonts w:ascii="微软雅黑" w:hAnsi="微软雅黑" w:eastAsia="微软雅黑" w:cs="微软雅黑"/>
          <w:color w:val="auto"/>
          <w:spacing w:val="-10"/>
          <w:sz w:val="24"/>
          <w:szCs w:val="24"/>
          <w:highlight w:val="none"/>
        </w:rPr>
        <w:t>场外来施工方的安全培训和教育，共有</w:t>
      </w:r>
      <w:r>
        <w:rPr>
          <w:rFonts w:hint="eastAsia" w:ascii="微软雅黑" w:hAnsi="微软雅黑" w:eastAsia="微软雅黑" w:cs="微软雅黑"/>
          <w:color w:val="auto"/>
          <w:spacing w:val="-10"/>
          <w:sz w:val="24"/>
          <w:szCs w:val="24"/>
          <w:highlight w:val="none"/>
          <w:lang w:val="en-US" w:eastAsia="zh-CN"/>
        </w:rPr>
        <w:t>50</w:t>
      </w:r>
      <w:r>
        <w:rPr>
          <w:rFonts w:ascii="微软雅黑" w:hAnsi="微软雅黑" w:eastAsia="微软雅黑" w:cs="微软雅黑"/>
          <w:color w:val="auto"/>
          <w:spacing w:val="-10"/>
          <w:sz w:val="24"/>
          <w:szCs w:val="24"/>
          <w:highlight w:val="none"/>
        </w:rPr>
        <w:t>人参加，覆盖率100%，</w:t>
      </w:r>
      <w:r>
        <w:rPr>
          <w:rFonts w:ascii="微软雅黑" w:hAnsi="微软雅黑" w:eastAsia="微软雅黑" w:cs="微软雅黑"/>
          <w:spacing w:val="-2"/>
          <w:sz w:val="24"/>
          <w:szCs w:val="24"/>
          <w:highlight w:val="none"/>
        </w:rPr>
        <w:t>培训合格率100%。</w:t>
      </w:r>
    </w:p>
    <w:p w14:paraId="37E22136">
      <w:pPr>
        <w:spacing w:before="78" w:line="217" w:lineRule="auto"/>
        <w:ind w:right="4" w:firstLine="481"/>
        <w:jc w:val="both"/>
        <w:rPr>
          <w:rFonts w:ascii="微软雅黑" w:hAnsi="微软雅黑" w:eastAsia="微软雅黑" w:cs="微软雅黑"/>
          <w:sz w:val="24"/>
          <w:szCs w:val="24"/>
          <w:highlight w:val="none"/>
        </w:rPr>
      </w:pPr>
      <w:r>
        <w:rPr>
          <w:rFonts w:ascii="微软雅黑" w:hAnsi="微软雅黑" w:eastAsia="微软雅黑" w:cs="微软雅黑"/>
          <w:spacing w:val="-7"/>
          <w:sz w:val="24"/>
          <w:szCs w:val="24"/>
          <w:highlight w:val="none"/>
        </w:rPr>
        <w:t>在202</w:t>
      </w:r>
      <w:r>
        <w:rPr>
          <w:rFonts w:hint="eastAsia" w:ascii="微软雅黑" w:hAnsi="微软雅黑" w:eastAsia="微软雅黑" w:cs="微软雅黑"/>
          <w:spacing w:val="-7"/>
          <w:sz w:val="24"/>
          <w:szCs w:val="24"/>
          <w:highlight w:val="none"/>
          <w:lang w:val="en-US" w:eastAsia="zh-CN"/>
        </w:rPr>
        <w:t>3</w:t>
      </w:r>
      <w:r>
        <w:rPr>
          <w:rFonts w:ascii="微软雅黑" w:hAnsi="微软雅黑" w:eastAsia="微软雅黑" w:cs="微软雅黑"/>
          <w:spacing w:val="-7"/>
          <w:sz w:val="24"/>
          <w:szCs w:val="24"/>
          <w:highlight w:val="none"/>
        </w:rPr>
        <w:t>年，</w:t>
      </w:r>
      <w:r>
        <w:rPr>
          <w:rFonts w:ascii="微软雅黑" w:hAnsi="微软雅黑" w:eastAsia="微软雅黑" w:cs="微软雅黑"/>
          <w:color w:val="auto"/>
          <w:spacing w:val="-7"/>
          <w:sz w:val="24"/>
          <w:szCs w:val="24"/>
          <w:highlight w:val="none"/>
        </w:rPr>
        <w:t>公司</w:t>
      </w:r>
      <w:r>
        <w:rPr>
          <w:rFonts w:hint="eastAsia" w:ascii="微软雅黑" w:hAnsi="微软雅黑" w:eastAsia="微软雅黑" w:cs="微软雅黑"/>
          <w:color w:val="auto"/>
          <w:spacing w:val="-7"/>
          <w:sz w:val="24"/>
          <w:szCs w:val="24"/>
          <w:highlight w:val="none"/>
          <w:lang w:val="en-US" w:eastAsia="zh-CN"/>
        </w:rPr>
        <w:t>计划</w:t>
      </w:r>
      <w:r>
        <w:rPr>
          <w:rFonts w:ascii="微软雅黑" w:hAnsi="微软雅黑" w:eastAsia="微软雅黑" w:cs="微软雅黑"/>
          <w:color w:val="auto"/>
          <w:spacing w:val="-7"/>
          <w:sz w:val="24"/>
          <w:szCs w:val="24"/>
          <w:highlight w:val="none"/>
        </w:rPr>
        <w:t>采购部对</w:t>
      </w:r>
      <w:r>
        <w:rPr>
          <w:rFonts w:hint="eastAsia" w:ascii="微软雅黑" w:hAnsi="微软雅黑" w:eastAsia="微软雅黑" w:cs="微软雅黑"/>
          <w:color w:val="auto"/>
          <w:spacing w:val="14"/>
          <w:sz w:val="24"/>
          <w:szCs w:val="24"/>
          <w:highlight w:val="none"/>
          <w:lang w:val="en-US" w:eastAsia="zh-CN"/>
        </w:rPr>
        <w:t>6</w:t>
      </w:r>
      <w:r>
        <w:rPr>
          <w:rFonts w:ascii="微软雅黑" w:hAnsi="微软雅黑" w:eastAsia="微软雅黑" w:cs="微软雅黑"/>
          <w:color w:val="auto"/>
          <w:spacing w:val="-7"/>
          <w:sz w:val="24"/>
          <w:szCs w:val="24"/>
          <w:highlight w:val="none"/>
        </w:rPr>
        <w:t>个供应商传达了《供应商行</w:t>
      </w:r>
      <w:r>
        <w:rPr>
          <w:rFonts w:ascii="微软雅黑" w:hAnsi="微软雅黑" w:eastAsia="微软雅黑" w:cs="微软雅黑"/>
          <w:color w:val="auto"/>
          <w:spacing w:val="-8"/>
          <w:sz w:val="24"/>
          <w:szCs w:val="24"/>
          <w:highlight w:val="none"/>
        </w:rPr>
        <w:t>为准则》</w:t>
      </w:r>
      <w:r>
        <w:rPr>
          <w:rFonts w:ascii="微软雅黑" w:hAnsi="微软雅黑" w:eastAsia="微软雅黑" w:cs="微软雅黑"/>
          <w:spacing w:val="-8"/>
          <w:sz w:val="24"/>
          <w:szCs w:val="24"/>
          <w:highlight w:val="none"/>
        </w:rPr>
        <w:t>，其中包含了EHS的管</w:t>
      </w:r>
      <w:r>
        <w:rPr>
          <w:rFonts w:ascii="微软雅黑" w:hAnsi="微软雅黑" w:eastAsia="微软雅黑" w:cs="微软雅黑"/>
          <w:spacing w:val="-9"/>
          <w:sz w:val="24"/>
          <w:szCs w:val="24"/>
          <w:highlight w:val="none"/>
        </w:rPr>
        <w:t>理要求。</w:t>
      </w:r>
    </w:p>
    <w:p w14:paraId="497346FF">
      <w:pPr>
        <w:pStyle w:val="3"/>
        <w:spacing w:line="250" w:lineRule="auto"/>
        <w:rPr>
          <w:highlight w:val="none"/>
        </w:rPr>
      </w:pPr>
    </w:p>
    <w:p w14:paraId="4374A32D">
      <w:pPr>
        <w:pStyle w:val="3"/>
        <w:spacing w:line="251" w:lineRule="auto"/>
        <w:rPr>
          <w:highlight w:val="none"/>
        </w:rPr>
      </w:pPr>
    </w:p>
    <w:p w14:paraId="4A49AAA9">
      <w:pPr>
        <w:pStyle w:val="3"/>
        <w:spacing w:line="251" w:lineRule="auto"/>
        <w:rPr>
          <w:highlight w:val="none"/>
        </w:rPr>
      </w:pPr>
    </w:p>
    <w:p w14:paraId="043ECDCF">
      <w:pPr>
        <w:spacing w:before="103" w:line="194" w:lineRule="auto"/>
        <w:ind w:left="8"/>
        <w:outlineLvl w:val="0"/>
        <w:rPr>
          <w:rFonts w:ascii="微软雅黑" w:hAnsi="微软雅黑" w:eastAsia="微软雅黑" w:cs="微软雅黑"/>
          <w:sz w:val="24"/>
          <w:szCs w:val="24"/>
          <w:highlight w:val="none"/>
        </w:rPr>
      </w:pPr>
      <w:bookmarkStart w:id="18" w:name="bookmark19"/>
      <w:bookmarkEnd w:id="18"/>
      <w:r>
        <w:rPr>
          <w:rFonts w:ascii="微软雅黑" w:hAnsi="微软雅黑" w:eastAsia="微软雅黑" w:cs="微软雅黑"/>
          <w:b/>
          <w:bCs/>
          <w:spacing w:val="-1"/>
          <w:sz w:val="24"/>
          <w:szCs w:val="24"/>
          <w:highlight w:val="none"/>
        </w:rPr>
        <w:t>8、职业健康与安全管理体系覆盖的员工</w:t>
      </w:r>
    </w:p>
    <w:p w14:paraId="7B48B871">
      <w:pPr>
        <w:pStyle w:val="3"/>
        <w:spacing w:line="339" w:lineRule="auto"/>
        <w:rPr>
          <w:highlight w:val="none"/>
        </w:rPr>
      </w:pPr>
    </w:p>
    <w:p w14:paraId="789446D2">
      <w:pPr>
        <w:spacing w:before="103" w:line="224" w:lineRule="auto"/>
        <w:ind w:left="2" w:firstLine="478"/>
        <w:jc w:val="both"/>
        <w:rPr>
          <w:rFonts w:ascii="微软雅黑" w:hAnsi="微软雅黑" w:eastAsia="微软雅黑" w:cs="微软雅黑"/>
          <w:sz w:val="24"/>
          <w:szCs w:val="24"/>
          <w:highlight w:val="none"/>
        </w:rPr>
      </w:pPr>
      <w:r>
        <w:rPr>
          <w:rFonts w:ascii="微软雅黑" w:hAnsi="微软雅黑" w:eastAsia="微软雅黑" w:cs="微软雅黑"/>
          <w:spacing w:val="-5"/>
          <w:sz w:val="24"/>
          <w:szCs w:val="24"/>
          <w:highlight w:val="none"/>
        </w:rPr>
        <w:t>公司安环部依据ISO45001:2018(GB</w:t>
      </w:r>
      <w:r>
        <w:rPr>
          <w:rFonts w:ascii="微软雅黑" w:hAnsi="微软雅黑" w:eastAsia="微软雅黑" w:cs="微软雅黑"/>
          <w:spacing w:val="-6"/>
          <w:sz w:val="24"/>
          <w:szCs w:val="24"/>
          <w:highlight w:val="none"/>
        </w:rPr>
        <w:t>/T45001-2020)标准，结合当地的法律法规，在202</w:t>
      </w:r>
      <w:r>
        <w:rPr>
          <w:rFonts w:hint="eastAsia" w:ascii="微软雅黑" w:hAnsi="微软雅黑" w:eastAsia="微软雅黑" w:cs="微软雅黑"/>
          <w:spacing w:val="-6"/>
          <w:sz w:val="24"/>
          <w:szCs w:val="24"/>
          <w:highlight w:val="none"/>
          <w:lang w:val="en-US" w:eastAsia="zh-CN"/>
        </w:rPr>
        <w:t>3</w:t>
      </w:r>
      <w:r>
        <w:rPr>
          <w:rFonts w:ascii="微软雅黑" w:hAnsi="微软雅黑" w:eastAsia="微软雅黑" w:cs="微软雅黑"/>
          <w:spacing w:val="-4"/>
          <w:sz w:val="24"/>
          <w:szCs w:val="24"/>
          <w:highlight w:val="none"/>
        </w:rPr>
        <w:t>年</w:t>
      </w:r>
      <w:r>
        <w:rPr>
          <w:rFonts w:hint="eastAsia" w:ascii="微软雅黑" w:hAnsi="微软雅黑" w:eastAsia="微软雅黑" w:cs="微软雅黑"/>
          <w:spacing w:val="-4"/>
          <w:sz w:val="24"/>
          <w:szCs w:val="24"/>
          <w:highlight w:val="none"/>
          <w:lang w:val="en-US" w:eastAsia="zh-CN"/>
        </w:rPr>
        <w:t>3</w:t>
      </w:r>
      <w:r>
        <w:rPr>
          <w:rFonts w:ascii="微软雅黑" w:hAnsi="微软雅黑" w:eastAsia="微软雅黑" w:cs="微软雅黑"/>
          <w:spacing w:val="-4"/>
          <w:sz w:val="24"/>
          <w:szCs w:val="24"/>
          <w:highlight w:val="none"/>
        </w:rPr>
        <w:t>月组织了最近一次ISO45001管理体系的内部审核，本次</w:t>
      </w:r>
      <w:r>
        <w:rPr>
          <w:rFonts w:ascii="微软雅黑" w:hAnsi="微软雅黑" w:eastAsia="微软雅黑" w:cs="微软雅黑"/>
          <w:spacing w:val="-5"/>
          <w:sz w:val="24"/>
          <w:szCs w:val="24"/>
          <w:highlight w:val="none"/>
        </w:rPr>
        <w:t>内部审核覆盖了所有的部门和人</w:t>
      </w:r>
      <w:r>
        <w:rPr>
          <w:rFonts w:ascii="微软雅黑" w:hAnsi="微软雅黑" w:eastAsia="微软雅黑" w:cs="微软雅黑"/>
          <w:spacing w:val="-4"/>
          <w:sz w:val="24"/>
          <w:szCs w:val="24"/>
          <w:highlight w:val="none"/>
        </w:rPr>
        <w:t>员，审核中发现的问题汇总并发至各部门，各相关部门针对不符合全部进行了改善。</w:t>
      </w:r>
    </w:p>
    <w:p w14:paraId="056FE197">
      <w:pPr>
        <w:pStyle w:val="3"/>
        <w:spacing w:line="251" w:lineRule="auto"/>
        <w:rPr>
          <w:highlight w:val="none"/>
        </w:rPr>
      </w:pPr>
    </w:p>
    <w:p w14:paraId="275AB466">
      <w:pPr>
        <w:pStyle w:val="3"/>
        <w:spacing w:line="251" w:lineRule="auto"/>
        <w:rPr>
          <w:highlight w:val="none"/>
        </w:rPr>
      </w:pPr>
    </w:p>
    <w:p w14:paraId="7A456AFD">
      <w:pPr>
        <w:pStyle w:val="3"/>
        <w:spacing w:line="251" w:lineRule="auto"/>
        <w:rPr>
          <w:highlight w:val="none"/>
        </w:rPr>
      </w:pPr>
    </w:p>
    <w:p w14:paraId="64174AF2">
      <w:pPr>
        <w:spacing w:before="104" w:line="194" w:lineRule="auto"/>
        <w:ind w:left="8"/>
        <w:outlineLvl w:val="0"/>
        <w:rPr>
          <w:rFonts w:ascii="微软雅黑" w:hAnsi="微软雅黑" w:eastAsia="微软雅黑" w:cs="微软雅黑"/>
          <w:sz w:val="24"/>
          <w:szCs w:val="24"/>
          <w:highlight w:val="none"/>
        </w:rPr>
      </w:pPr>
      <w:bookmarkStart w:id="19" w:name="bookmark20"/>
      <w:bookmarkEnd w:id="19"/>
      <w:r>
        <w:rPr>
          <w:rFonts w:ascii="微软雅黑" w:hAnsi="微软雅黑" w:eastAsia="微软雅黑" w:cs="微软雅黑"/>
          <w:b/>
          <w:bCs/>
          <w:spacing w:val="-2"/>
          <w:sz w:val="24"/>
          <w:szCs w:val="24"/>
          <w:highlight w:val="none"/>
        </w:rPr>
        <w:t>9、工伤</w:t>
      </w:r>
    </w:p>
    <w:p w14:paraId="0F994EAF">
      <w:pPr>
        <w:pStyle w:val="3"/>
        <w:spacing w:line="338" w:lineRule="auto"/>
        <w:rPr>
          <w:highlight w:val="none"/>
        </w:rPr>
      </w:pPr>
    </w:p>
    <w:p w14:paraId="49AFFC6C">
      <w:pPr>
        <w:spacing w:before="103" w:line="214" w:lineRule="auto"/>
        <w:ind w:left="2" w:right="2" w:firstLine="479"/>
        <w:jc w:val="both"/>
        <w:rPr>
          <w:rFonts w:ascii="微软雅黑" w:hAnsi="微软雅黑" w:eastAsia="微软雅黑" w:cs="微软雅黑"/>
          <w:color w:val="auto"/>
          <w:sz w:val="24"/>
          <w:szCs w:val="24"/>
          <w:highlight w:val="none"/>
        </w:rPr>
      </w:pPr>
      <w:r>
        <w:rPr>
          <w:rFonts w:ascii="微软雅黑" w:hAnsi="微软雅黑" w:eastAsia="微软雅黑" w:cs="微软雅黑"/>
          <w:sz w:val="24"/>
          <w:szCs w:val="24"/>
          <w:highlight w:val="none"/>
        </w:rPr>
        <w:t>在202</w:t>
      </w:r>
      <w:r>
        <w:rPr>
          <w:rFonts w:hint="eastAsia" w:ascii="微软雅黑" w:hAnsi="微软雅黑" w:eastAsia="微软雅黑" w:cs="微软雅黑"/>
          <w:sz w:val="24"/>
          <w:szCs w:val="24"/>
          <w:highlight w:val="none"/>
          <w:lang w:val="en-US" w:eastAsia="zh-CN"/>
        </w:rPr>
        <w:t>3</w:t>
      </w:r>
      <w:r>
        <w:rPr>
          <w:rFonts w:ascii="微软雅黑" w:hAnsi="微软雅黑" w:eastAsia="微软雅黑" w:cs="微软雅黑"/>
          <w:sz w:val="24"/>
          <w:szCs w:val="24"/>
          <w:highlight w:val="none"/>
        </w:rPr>
        <w:t>年，</w:t>
      </w:r>
      <w:r>
        <w:rPr>
          <w:rFonts w:ascii="微软雅黑" w:hAnsi="微软雅黑" w:eastAsia="微软雅黑" w:cs="微软雅黑"/>
          <w:color w:val="auto"/>
          <w:sz w:val="24"/>
          <w:szCs w:val="24"/>
          <w:highlight w:val="none"/>
        </w:rPr>
        <w:t>公司发生0起工亡事件；发生0起严重受伤事件(不含</w:t>
      </w:r>
      <w:r>
        <w:rPr>
          <w:rFonts w:ascii="微软雅黑" w:hAnsi="微软雅黑" w:eastAsia="微软雅黑" w:cs="微软雅黑"/>
          <w:color w:val="auto"/>
          <w:spacing w:val="-1"/>
          <w:sz w:val="24"/>
          <w:szCs w:val="24"/>
          <w:highlight w:val="none"/>
        </w:rPr>
        <w:t>死亡)；发生</w:t>
      </w:r>
      <w:r>
        <w:rPr>
          <w:rFonts w:hint="eastAsia" w:ascii="微软雅黑" w:hAnsi="微软雅黑" w:eastAsia="微软雅黑" w:cs="微软雅黑"/>
          <w:color w:val="auto"/>
          <w:spacing w:val="-1"/>
          <w:sz w:val="24"/>
          <w:szCs w:val="24"/>
          <w:highlight w:val="none"/>
          <w:lang w:val="en-US" w:eastAsia="zh-CN"/>
        </w:rPr>
        <w:t>1</w:t>
      </w:r>
      <w:r>
        <w:rPr>
          <w:rFonts w:ascii="微软雅黑" w:hAnsi="微软雅黑" w:eastAsia="微软雅黑" w:cs="微软雅黑"/>
          <w:color w:val="auto"/>
          <w:spacing w:val="-1"/>
          <w:sz w:val="24"/>
          <w:szCs w:val="24"/>
          <w:highlight w:val="none"/>
        </w:rPr>
        <w:t>起轻微受伤事件；发生1起侥幸脱险事件(未遂事</w:t>
      </w:r>
      <w:r>
        <w:rPr>
          <w:rFonts w:ascii="微软雅黑" w:hAnsi="微软雅黑" w:eastAsia="微软雅黑" w:cs="微软雅黑"/>
          <w:color w:val="auto"/>
          <w:spacing w:val="-2"/>
          <w:sz w:val="24"/>
          <w:szCs w:val="24"/>
          <w:highlight w:val="none"/>
        </w:rPr>
        <w:t>件)。</w:t>
      </w:r>
    </w:p>
    <w:p w14:paraId="352BC565">
      <w:pPr>
        <w:spacing w:before="88" w:line="194" w:lineRule="auto"/>
        <w:ind w:left="485"/>
        <w:jc w:val="both"/>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工伤的主要类型包括：死亡、截肢、撕裂、骨折、疝气、烧伤、失</w:t>
      </w:r>
      <w:r>
        <w:rPr>
          <w:rFonts w:ascii="微软雅黑" w:hAnsi="微软雅黑" w:eastAsia="微软雅黑" w:cs="微软雅黑"/>
          <w:spacing w:val="-1"/>
          <w:sz w:val="24"/>
          <w:szCs w:val="24"/>
          <w:highlight w:val="none"/>
        </w:rPr>
        <w:t>去知觉、瘫痪等。</w:t>
      </w:r>
    </w:p>
    <w:p w14:paraId="6884E97A">
      <w:pPr>
        <w:spacing w:before="78" w:line="217" w:lineRule="auto"/>
        <w:ind w:left="1" w:firstLine="480"/>
        <w:jc w:val="both"/>
        <w:rPr>
          <w:rFonts w:ascii="微软雅黑" w:hAnsi="微软雅黑" w:eastAsia="微软雅黑" w:cs="微软雅黑"/>
          <w:sz w:val="24"/>
          <w:szCs w:val="24"/>
          <w:highlight w:val="none"/>
        </w:rPr>
      </w:pPr>
      <w:r>
        <w:rPr>
          <w:rFonts w:ascii="微软雅黑" w:hAnsi="微软雅黑" w:eastAsia="微软雅黑" w:cs="微软雅黑"/>
          <w:spacing w:val="-10"/>
          <w:sz w:val="24"/>
          <w:szCs w:val="24"/>
          <w:highlight w:val="none"/>
        </w:rPr>
        <w:t>针对每</w:t>
      </w:r>
      <w:r>
        <w:rPr>
          <w:rFonts w:ascii="微软雅黑" w:hAnsi="微软雅黑" w:eastAsia="微软雅黑" w:cs="微软雅黑"/>
          <w:spacing w:val="-9"/>
          <w:sz w:val="24"/>
          <w:szCs w:val="24"/>
          <w:highlight w:val="none"/>
        </w:rPr>
        <w:t>次的工伤/未遂事件</w:t>
      </w:r>
      <w:r>
        <w:rPr>
          <w:rFonts w:hint="eastAsia" w:ascii="微软雅黑" w:hAnsi="微软雅黑" w:eastAsia="微软雅黑" w:cs="微软雅黑"/>
          <w:spacing w:val="-9"/>
          <w:sz w:val="24"/>
          <w:szCs w:val="24"/>
          <w:highlight w:val="none"/>
          <w:lang w:eastAsia="zh-CN"/>
        </w:rPr>
        <w:t>，</w:t>
      </w:r>
      <w:r>
        <w:rPr>
          <w:rFonts w:hint="eastAsia" w:ascii="微软雅黑" w:hAnsi="微软雅黑" w:eastAsia="微软雅黑" w:cs="微软雅黑"/>
          <w:spacing w:val="-9"/>
          <w:sz w:val="24"/>
          <w:szCs w:val="24"/>
          <w:highlight w:val="none"/>
          <w:lang w:val="en-US" w:eastAsia="zh-CN"/>
        </w:rPr>
        <w:t>安环部</w:t>
      </w:r>
      <w:r>
        <w:rPr>
          <w:rFonts w:ascii="微软雅黑" w:hAnsi="微软雅黑" w:eastAsia="微软雅黑" w:cs="微软雅黑"/>
          <w:spacing w:val="-9"/>
          <w:sz w:val="24"/>
          <w:szCs w:val="24"/>
          <w:highlight w:val="none"/>
        </w:rPr>
        <w:t>要求责任部门进行原因分析和提出纠正措施，</w:t>
      </w:r>
      <w:r>
        <w:rPr>
          <w:rFonts w:hint="eastAsia" w:ascii="微软雅黑" w:hAnsi="微软雅黑" w:eastAsia="微软雅黑" w:cs="微软雅黑"/>
          <w:spacing w:val="-9"/>
          <w:sz w:val="24"/>
          <w:szCs w:val="24"/>
          <w:highlight w:val="none"/>
          <w:lang w:val="en-US" w:eastAsia="zh-CN"/>
        </w:rPr>
        <w:t>并</w:t>
      </w:r>
      <w:r>
        <w:rPr>
          <w:rFonts w:ascii="微软雅黑" w:hAnsi="微软雅黑" w:eastAsia="微软雅黑" w:cs="微软雅黑"/>
          <w:spacing w:val="-3"/>
          <w:sz w:val="24"/>
          <w:szCs w:val="24"/>
          <w:highlight w:val="none"/>
        </w:rPr>
        <w:t>进行了调查和验证，确保纠正措施的有效性。</w:t>
      </w:r>
    </w:p>
    <w:p w14:paraId="30FE4290">
      <w:pPr>
        <w:spacing w:line="217" w:lineRule="auto"/>
        <w:rPr>
          <w:rFonts w:ascii="微软雅黑" w:hAnsi="微软雅黑" w:eastAsia="微软雅黑" w:cs="微软雅黑"/>
          <w:sz w:val="24"/>
          <w:szCs w:val="24"/>
          <w:highlight w:val="none"/>
        </w:rPr>
        <w:sectPr>
          <w:headerReference r:id="rId14" w:type="default"/>
          <w:footerReference r:id="rId15" w:type="default"/>
          <w:pgSz w:w="11907" w:h="16839"/>
          <w:pgMar w:top="1189" w:right="1017" w:bottom="1251" w:left="1021" w:header="0" w:footer="1047" w:gutter="0"/>
          <w:pgNumType w:fmt="decimal"/>
          <w:cols w:space="720" w:num="1"/>
        </w:sectPr>
      </w:pPr>
    </w:p>
    <w:p w14:paraId="075D0E12">
      <w:pPr>
        <w:spacing w:before="68" w:line="199" w:lineRule="auto"/>
        <w:rPr>
          <w:rFonts w:ascii="微软雅黑" w:hAnsi="微软雅黑" w:eastAsia="微软雅黑" w:cs="微软雅黑"/>
          <w:sz w:val="31"/>
          <w:szCs w:val="31"/>
          <w:highlight w:val="none"/>
        </w:rPr>
      </w:pPr>
      <w:bookmarkStart w:id="20" w:name="bookmark22"/>
      <w:bookmarkEnd w:id="20"/>
      <w:bookmarkStart w:id="21" w:name="bookmark21"/>
      <w:bookmarkEnd w:id="21"/>
      <w:r>
        <w:rPr>
          <w:rFonts w:ascii="微软雅黑" w:hAnsi="微软雅黑" w:eastAsia="微软雅黑" w:cs="微软雅黑"/>
          <w:b/>
          <w:bCs/>
          <w:spacing w:val="8"/>
          <w:sz w:val="31"/>
          <w:szCs w:val="31"/>
          <w:highlight w:val="none"/>
          <w:u w:val="single" w:color="auto"/>
        </w:rPr>
        <w:t>绿色环保</w:t>
      </w:r>
    </w:p>
    <w:p w14:paraId="47E6EEFB">
      <w:pPr>
        <w:pStyle w:val="3"/>
        <w:spacing w:line="295" w:lineRule="auto"/>
        <w:rPr>
          <w:highlight w:val="none"/>
        </w:rPr>
      </w:pPr>
    </w:p>
    <w:p w14:paraId="53314585">
      <w:pPr>
        <w:pStyle w:val="3"/>
        <w:spacing w:line="296" w:lineRule="auto"/>
        <w:rPr>
          <w:highlight w:val="none"/>
        </w:rPr>
      </w:pPr>
    </w:p>
    <w:p w14:paraId="63AB3899">
      <w:pPr>
        <w:spacing w:before="103" w:line="224" w:lineRule="auto"/>
        <w:ind w:left="3" w:right="4" w:firstLine="477"/>
        <w:jc w:val="both"/>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公司积极倡导“保护环境、预防污染”的经营理念，可以在生产过程中最大程度上保证上</w:t>
      </w:r>
      <w:r>
        <w:rPr>
          <w:rFonts w:ascii="微软雅黑" w:hAnsi="微软雅黑" w:eastAsia="微软雅黑" w:cs="微软雅黑"/>
          <w:spacing w:val="-3"/>
          <w:sz w:val="24"/>
          <w:szCs w:val="24"/>
          <w:highlight w:val="none"/>
        </w:rPr>
        <w:t>下游原料的及时供应和产品质量，并有效节省能源损耗、废料损失，降低运输费用。公司熔铸</w:t>
      </w:r>
      <w:r>
        <w:rPr>
          <w:rFonts w:ascii="微软雅黑" w:hAnsi="微软雅黑" w:eastAsia="微软雅黑" w:cs="微软雅黑"/>
          <w:spacing w:val="-1"/>
          <w:sz w:val="24"/>
          <w:szCs w:val="24"/>
          <w:highlight w:val="none"/>
        </w:rPr>
        <w:t>车间能够回收利用各生产环节产生的废铝，控制废</w:t>
      </w:r>
      <w:r>
        <w:rPr>
          <w:rFonts w:ascii="微软雅黑" w:hAnsi="微软雅黑" w:eastAsia="微软雅黑" w:cs="微软雅黑"/>
          <w:spacing w:val="-2"/>
          <w:sz w:val="24"/>
          <w:szCs w:val="24"/>
          <w:highlight w:val="none"/>
        </w:rPr>
        <w:t>料添加比例，达到均衡消化处理。</w:t>
      </w:r>
    </w:p>
    <w:p w14:paraId="79681E1F">
      <w:pPr>
        <w:pStyle w:val="3"/>
        <w:spacing w:line="385" w:lineRule="auto"/>
        <w:rPr>
          <w:highlight w:val="none"/>
        </w:rPr>
      </w:pPr>
    </w:p>
    <w:p w14:paraId="12CF78B1">
      <w:pPr>
        <w:spacing w:before="103" w:line="195" w:lineRule="auto"/>
        <w:ind w:left="19"/>
        <w:outlineLvl w:val="0"/>
        <w:rPr>
          <w:rFonts w:ascii="微软雅黑" w:hAnsi="微软雅黑" w:eastAsia="微软雅黑" w:cs="微软雅黑"/>
          <w:sz w:val="24"/>
          <w:szCs w:val="24"/>
          <w:highlight w:val="none"/>
        </w:rPr>
      </w:pPr>
      <w:r>
        <w:rPr>
          <w:rFonts w:ascii="微软雅黑" w:hAnsi="微软雅黑" w:eastAsia="微软雅黑" w:cs="微软雅黑"/>
          <w:b/>
          <w:bCs/>
          <w:spacing w:val="-4"/>
          <w:sz w:val="24"/>
          <w:szCs w:val="24"/>
          <w:highlight w:val="none"/>
        </w:rPr>
        <w:t>1、环保目标</w:t>
      </w:r>
    </w:p>
    <w:p w14:paraId="6C79A709">
      <w:pPr>
        <w:spacing w:before="76" w:line="189" w:lineRule="auto"/>
        <w:ind w:left="495"/>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(1)废气、噪声排放达标率100%</w:t>
      </w:r>
    </w:p>
    <w:p w14:paraId="16EC8CCF">
      <w:pPr>
        <w:spacing w:before="88" w:line="189" w:lineRule="auto"/>
        <w:ind w:left="495"/>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(2)生产生活废弃物收集处理率100%。</w:t>
      </w:r>
    </w:p>
    <w:p w14:paraId="1729074A">
      <w:pPr>
        <w:spacing w:before="87" w:line="225" w:lineRule="auto"/>
        <w:ind w:firstLine="480"/>
        <w:rPr>
          <w:rFonts w:ascii="微软雅黑" w:hAnsi="微软雅黑" w:eastAsia="微软雅黑" w:cs="微软雅黑"/>
          <w:sz w:val="24"/>
          <w:szCs w:val="24"/>
          <w:highlight w:val="none"/>
        </w:rPr>
      </w:pPr>
      <w:r>
        <w:rPr>
          <w:rFonts w:ascii="微软雅黑" w:hAnsi="微软雅黑" w:eastAsia="微软雅黑" w:cs="微软雅黑"/>
          <w:spacing w:val="-4"/>
          <w:sz w:val="24"/>
          <w:szCs w:val="24"/>
          <w:highlight w:val="none"/>
        </w:rPr>
        <w:t>公司实现体系化的环境管理，通过了ISO14001管理体系认证。在202</w:t>
      </w:r>
      <w:r>
        <w:rPr>
          <w:rFonts w:hint="eastAsia" w:ascii="微软雅黑" w:hAnsi="微软雅黑" w:eastAsia="微软雅黑" w:cs="微软雅黑"/>
          <w:spacing w:val="-4"/>
          <w:sz w:val="24"/>
          <w:szCs w:val="24"/>
          <w:highlight w:val="none"/>
          <w:lang w:val="en-US" w:eastAsia="zh-CN"/>
        </w:rPr>
        <w:t>3</w:t>
      </w:r>
      <w:r>
        <w:rPr>
          <w:rFonts w:ascii="微软雅黑" w:hAnsi="微软雅黑" w:eastAsia="微软雅黑" w:cs="微软雅黑"/>
          <w:spacing w:val="-4"/>
          <w:sz w:val="24"/>
          <w:szCs w:val="24"/>
          <w:highlight w:val="none"/>
        </w:rPr>
        <w:t>年</w:t>
      </w:r>
      <w:r>
        <w:rPr>
          <w:rFonts w:hint="eastAsia" w:ascii="微软雅黑" w:hAnsi="微软雅黑" w:eastAsia="微软雅黑" w:cs="微软雅黑"/>
          <w:spacing w:val="-4"/>
          <w:sz w:val="24"/>
          <w:szCs w:val="24"/>
          <w:highlight w:val="none"/>
          <w:lang w:val="en-US" w:eastAsia="zh-CN"/>
        </w:rPr>
        <w:t>6</w:t>
      </w:r>
      <w:r>
        <w:rPr>
          <w:rFonts w:ascii="微软雅黑" w:hAnsi="微软雅黑" w:eastAsia="微软雅黑" w:cs="微软雅黑"/>
          <w:spacing w:val="-4"/>
          <w:sz w:val="24"/>
          <w:szCs w:val="24"/>
          <w:highlight w:val="none"/>
        </w:rPr>
        <w:t>月，独立第</w:t>
      </w:r>
      <w:r>
        <w:rPr>
          <w:rFonts w:ascii="微软雅黑" w:hAnsi="微软雅黑" w:eastAsia="微软雅黑" w:cs="微软雅黑"/>
          <w:spacing w:val="-1"/>
          <w:sz w:val="24"/>
          <w:szCs w:val="24"/>
          <w:highlight w:val="none"/>
        </w:rPr>
        <w:t>三方认证机构(</w:t>
      </w:r>
      <w:r>
        <w:rPr>
          <w:rFonts w:hint="default" w:ascii="微软雅黑" w:hAnsi="微软雅黑" w:eastAsia="微软雅黑" w:cs="微软雅黑"/>
          <w:spacing w:val="-7"/>
          <w:sz w:val="24"/>
          <w:szCs w:val="24"/>
          <w:highlight w:val="none"/>
        </w:rPr>
        <w:t>北京</w:t>
      </w:r>
      <w:r>
        <w:rPr>
          <w:rFonts w:hint="eastAsia" w:ascii="微软雅黑" w:hAnsi="微软雅黑" w:eastAsia="微软雅黑" w:cs="微软雅黑"/>
          <w:spacing w:val="-7"/>
          <w:sz w:val="24"/>
          <w:szCs w:val="24"/>
          <w:highlight w:val="none"/>
          <w:lang w:val="en-US" w:eastAsia="zh-CN"/>
        </w:rPr>
        <w:t>恩格威</w:t>
      </w:r>
      <w:r>
        <w:rPr>
          <w:rFonts w:hint="default" w:ascii="微软雅黑" w:hAnsi="微软雅黑" w:eastAsia="微软雅黑" w:cs="微软雅黑"/>
          <w:spacing w:val="-7"/>
          <w:sz w:val="24"/>
          <w:szCs w:val="24"/>
          <w:highlight w:val="none"/>
        </w:rPr>
        <w:t>认证中心</w:t>
      </w:r>
      <w:r>
        <w:rPr>
          <w:rFonts w:ascii="微软雅黑" w:hAnsi="微软雅黑" w:eastAsia="微软雅黑" w:cs="微软雅黑"/>
          <w:spacing w:val="-1"/>
          <w:sz w:val="24"/>
          <w:szCs w:val="24"/>
          <w:highlight w:val="none"/>
        </w:rPr>
        <w:t>))对公司ISO14001管理体系进行了</w:t>
      </w:r>
      <w:r>
        <w:rPr>
          <w:rFonts w:hint="eastAsia" w:ascii="微软雅黑" w:hAnsi="微软雅黑" w:eastAsia="微软雅黑" w:cs="微软雅黑"/>
          <w:spacing w:val="-1"/>
          <w:sz w:val="24"/>
          <w:szCs w:val="24"/>
          <w:highlight w:val="none"/>
          <w:lang w:val="en-US" w:eastAsia="zh-CN"/>
        </w:rPr>
        <w:t>初次</w:t>
      </w:r>
      <w:r>
        <w:rPr>
          <w:rFonts w:ascii="微软雅黑" w:hAnsi="微软雅黑" w:eastAsia="微软雅黑" w:cs="微软雅黑"/>
          <w:spacing w:val="-1"/>
          <w:sz w:val="24"/>
          <w:szCs w:val="24"/>
          <w:highlight w:val="none"/>
        </w:rPr>
        <w:t>审核，共发</w:t>
      </w:r>
      <w:r>
        <w:rPr>
          <w:rFonts w:ascii="微软雅黑" w:hAnsi="微软雅黑" w:eastAsia="微软雅黑" w:cs="微软雅黑"/>
          <w:spacing w:val="-7"/>
          <w:sz w:val="24"/>
          <w:szCs w:val="24"/>
          <w:highlight w:val="none"/>
        </w:rPr>
        <w:t>现</w:t>
      </w:r>
      <w:r>
        <w:rPr>
          <w:rFonts w:hint="eastAsia" w:ascii="微软雅黑" w:hAnsi="微软雅黑" w:eastAsia="微软雅黑" w:cs="微软雅黑"/>
          <w:spacing w:val="-7"/>
          <w:sz w:val="24"/>
          <w:szCs w:val="24"/>
          <w:highlight w:val="none"/>
          <w:lang w:val="en-US" w:eastAsia="zh-CN"/>
        </w:rPr>
        <w:t>1</w:t>
      </w:r>
      <w:r>
        <w:rPr>
          <w:rFonts w:ascii="微软雅黑" w:hAnsi="微软雅黑" w:eastAsia="微软雅黑" w:cs="微软雅黑"/>
          <w:spacing w:val="-7"/>
          <w:sz w:val="24"/>
          <w:szCs w:val="24"/>
          <w:highlight w:val="none"/>
        </w:rPr>
        <w:t>个不符合。</w:t>
      </w:r>
    </w:p>
    <w:p w14:paraId="7A669D2B">
      <w:pPr>
        <w:spacing w:before="74" w:line="231" w:lineRule="auto"/>
        <w:ind w:right="4" w:firstLine="480"/>
        <w:jc w:val="both"/>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公司设有安环部，由公司副总经理分管，负责整个公司的环保监察和协调工作，制定</w:t>
      </w:r>
      <w:r>
        <w:rPr>
          <w:rFonts w:ascii="微软雅黑" w:hAnsi="微软雅黑" w:eastAsia="微软雅黑" w:cs="微软雅黑"/>
          <w:spacing w:val="-4"/>
          <w:sz w:val="24"/>
          <w:szCs w:val="24"/>
          <w:highlight w:val="none"/>
        </w:rPr>
        <w:t>有详</w:t>
      </w:r>
      <w:r>
        <w:rPr>
          <w:rFonts w:ascii="微软雅黑" w:hAnsi="微软雅黑" w:eastAsia="微软雅黑" w:cs="微软雅黑"/>
          <w:spacing w:val="-3"/>
          <w:sz w:val="24"/>
          <w:szCs w:val="24"/>
          <w:highlight w:val="none"/>
        </w:rPr>
        <w:t>细的环保管理制度。定期召开各铝渣、废气排放等环保相关的管理负责人会议，开发区不定期</w:t>
      </w:r>
      <w:r>
        <w:rPr>
          <w:rFonts w:ascii="微软雅黑" w:hAnsi="微软雅黑" w:eastAsia="微软雅黑" w:cs="微软雅黑"/>
          <w:spacing w:val="-6"/>
          <w:sz w:val="24"/>
          <w:szCs w:val="24"/>
          <w:highlight w:val="none"/>
        </w:rPr>
        <w:t>对各厂区排放口取样检测，并做好详细的检查记录，对排放不达标</w:t>
      </w:r>
      <w:r>
        <w:rPr>
          <w:rFonts w:ascii="微软雅黑" w:hAnsi="微软雅黑" w:eastAsia="微软雅黑" w:cs="微软雅黑"/>
          <w:spacing w:val="-7"/>
          <w:sz w:val="24"/>
          <w:szCs w:val="24"/>
          <w:highlight w:val="none"/>
        </w:rPr>
        <w:t>的单位按规定做出相应处理，</w:t>
      </w:r>
      <w:r>
        <w:rPr>
          <w:rFonts w:ascii="微软雅黑" w:hAnsi="微软雅黑" w:eastAsia="微软雅黑" w:cs="微软雅黑"/>
          <w:spacing w:val="1"/>
          <w:sz w:val="24"/>
          <w:szCs w:val="24"/>
          <w:highlight w:val="none"/>
        </w:rPr>
        <w:t>并限期整改，定期对环保设备运行情况进行</w:t>
      </w:r>
      <w:r>
        <w:rPr>
          <w:rFonts w:ascii="微软雅黑" w:hAnsi="微软雅黑" w:eastAsia="微软雅黑" w:cs="微软雅黑"/>
          <w:sz w:val="24"/>
          <w:szCs w:val="24"/>
          <w:highlight w:val="none"/>
        </w:rPr>
        <w:t>检查，保证设备运行正常，加强厂内生产废水及废</w:t>
      </w:r>
      <w:r>
        <w:rPr>
          <w:rFonts w:ascii="微软雅黑" w:hAnsi="微软雅黑" w:eastAsia="微软雅黑" w:cs="微软雅黑"/>
          <w:spacing w:val="-2"/>
          <w:sz w:val="24"/>
          <w:szCs w:val="24"/>
          <w:highlight w:val="none"/>
        </w:rPr>
        <w:t>气处理设施的运行管理，确保各种污染物达标后排放。</w:t>
      </w:r>
    </w:p>
    <w:p w14:paraId="695A372E">
      <w:pPr>
        <w:spacing w:before="82" w:line="216" w:lineRule="auto"/>
        <w:ind w:left="3" w:right="9" w:firstLine="476"/>
        <w:jc w:val="both"/>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公司聘请第三方有资质的机构对企业排放的废气、废水、厂界噪声进行定期监测，监测报</w:t>
      </w:r>
      <w:r>
        <w:rPr>
          <w:rFonts w:ascii="微软雅黑" w:hAnsi="微软雅黑" w:eastAsia="微软雅黑" w:cs="微软雅黑"/>
          <w:spacing w:val="-7"/>
          <w:sz w:val="24"/>
          <w:szCs w:val="24"/>
          <w:highlight w:val="none"/>
        </w:rPr>
        <w:t>告结果显示，202</w:t>
      </w:r>
      <w:r>
        <w:rPr>
          <w:rFonts w:hint="eastAsia" w:ascii="微软雅黑" w:hAnsi="微软雅黑" w:eastAsia="微软雅黑" w:cs="微软雅黑"/>
          <w:spacing w:val="-7"/>
          <w:sz w:val="24"/>
          <w:szCs w:val="24"/>
          <w:highlight w:val="none"/>
          <w:lang w:val="en-US" w:eastAsia="zh-CN"/>
        </w:rPr>
        <w:t>3</w:t>
      </w:r>
      <w:r>
        <w:rPr>
          <w:rFonts w:ascii="微软雅黑" w:hAnsi="微软雅黑" w:eastAsia="微软雅黑" w:cs="微软雅黑"/>
          <w:spacing w:val="-7"/>
          <w:sz w:val="24"/>
          <w:szCs w:val="24"/>
          <w:highlight w:val="none"/>
        </w:rPr>
        <w:t>年，公司废水、废气、厂界噪声均达标排放。</w:t>
      </w:r>
    </w:p>
    <w:p w14:paraId="7FE9C5B5">
      <w:pPr>
        <w:spacing w:before="80" w:line="194" w:lineRule="auto"/>
        <w:ind w:left="480"/>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公司在202</w:t>
      </w:r>
      <w:r>
        <w:rPr>
          <w:rFonts w:hint="eastAsia" w:ascii="微软雅黑" w:hAnsi="微软雅黑" w:eastAsia="微软雅黑" w:cs="微软雅黑"/>
          <w:spacing w:val="-3"/>
          <w:sz w:val="24"/>
          <w:szCs w:val="24"/>
          <w:highlight w:val="none"/>
          <w:lang w:val="en-US" w:eastAsia="zh-CN"/>
        </w:rPr>
        <w:t>3</w:t>
      </w:r>
      <w:r>
        <w:rPr>
          <w:rFonts w:ascii="微软雅黑" w:hAnsi="微软雅黑" w:eastAsia="微软雅黑" w:cs="微软雅黑"/>
          <w:spacing w:val="-3"/>
          <w:sz w:val="24"/>
          <w:szCs w:val="24"/>
          <w:highlight w:val="none"/>
        </w:rPr>
        <w:t>年未发生渗漏、泄露事</w:t>
      </w:r>
      <w:r>
        <w:rPr>
          <w:rFonts w:ascii="微软雅黑" w:hAnsi="微软雅黑" w:eastAsia="微软雅黑" w:cs="微软雅黑"/>
          <w:spacing w:val="-4"/>
          <w:sz w:val="24"/>
          <w:szCs w:val="24"/>
          <w:highlight w:val="none"/>
        </w:rPr>
        <w:t>故。</w:t>
      </w:r>
    </w:p>
    <w:p w14:paraId="1E0E40BF">
      <w:pPr>
        <w:pStyle w:val="3"/>
        <w:spacing w:line="386" w:lineRule="auto"/>
        <w:rPr>
          <w:highlight w:val="none"/>
        </w:rPr>
      </w:pPr>
    </w:p>
    <w:p w14:paraId="5A9D9D1E">
      <w:pPr>
        <w:spacing w:before="103" w:line="194" w:lineRule="auto"/>
        <w:ind w:left="9"/>
        <w:outlineLvl w:val="0"/>
        <w:rPr>
          <w:rFonts w:ascii="微软雅黑" w:hAnsi="微软雅黑" w:eastAsia="微软雅黑" w:cs="微软雅黑"/>
          <w:sz w:val="24"/>
          <w:szCs w:val="24"/>
          <w:highlight w:val="none"/>
        </w:rPr>
      </w:pPr>
      <w:bookmarkStart w:id="22" w:name="bookmark23"/>
      <w:bookmarkEnd w:id="22"/>
      <w:r>
        <w:rPr>
          <w:rFonts w:ascii="微软雅黑" w:hAnsi="微软雅黑" w:eastAsia="微软雅黑" w:cs="微软雅黑"/>
          <w:b/>
          <w:bCs/>
          <w:spacing w:val="-2"/>
          <w:sz w:val="24"/>
          <w:szCs w:val="24"/>
          <w:highlight w:val="none"/>
        </w:rPr>
        <w:t>2、节能减排</w:t>
      </w:r>
    </w:p>
    <w:p w14:paraId="51135F97">
      <w:pPr>
        <w:spacing w:before="78" w:line="217" w:lineRule="auto"/>
        <w:ind w:right="6" w:firstLine="479"/>
        <w:jc w:val="both"/>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公司建立起完善的能源使用制度</w:t>
      </w:r>
      <w:r>
        <w:rPr>
          <w:rFonts w:hint="eastAsia" w:ascii="微软雅黑" w:hAnsi="微软雅黑" w:eastAsia="微软雅黑" w:cs="微软雅黑"/>
          <w:spacing w:val="-3"/>
          <w:sz w:val="24"/>
          <w:szCs w:val="24"/>
          <w:highlight w:val="none"/>
          <w:lang w:eastAsia="zh-CN"/>
        </w:rPr>
        <w:t>，</w:t>
      </w:r>
      <w:r>
        <w:rPr>
          <w:rFonts w:ascii="微软雅黑" w:hAnsi="微软雅黑" w:eastAsia="微软雅黑" w:cs="微软雅黑"/>
          <w:spacing w:val="-3"/>
          <w:sz w:val="24"/>
          <w:szCs w:val="24"/>
          <w:highlight w:val="none"/>
        </w:rPr>
        <w:t>规范能源计量基础管理工作，把资源、能源、原材</w:t>
      </w:r>
      <w:r>
        <w:rPr>
          <w:rFonts w:ascii="微软雅黑" w:hAnsi="微软雅黑" w:eastAsia="微软雅黑" w:cs="微软雅黑"/>
          <w:spacing w:val="-4"/>
          <w:sz w:val="24"/>
          <w:szCs w:val="24"/>
          <w:highlight w:val="none"/>
        </w:rPr>
        <w:t>料消</w:t>
      </w:r>
      <w:r>
        <w:rPr>
          <w:rFonts w:ascii="微软雅黑" w:hAnsi="微软雅黑" w:eastAsia="微软雅黑" w:cs="微软雅黑"/>
          <w:spacing w:val="-2"/>
          <w:sz w:val="24"/>
          <w:szCs w:val="24"/>
          <w:highlight w:val="none"/>
        </w:rPr>
        <w:t>耗指标层层分解，纳入考核体系。发展循环经济，保护生态环境。</w:t>
      </w:r>
    </w:p>
    <w:p w14:paraId="10B9707D">
      <w:pPr>
        <w:spacing w:before="75" w:line="229" w:lineRule="auto"/>
        <w:ind w:right="3" w:firstLine="491"/>
        <w:jc w:val="both"/>
        <w:rPr>
          <w:rFonts w:ascii="微软雅黑" w:hAnsi="微软雅黑" w:eastAsia="微软雅黑" w:cs="微软雅黑"/>
          <w:sz w:val="24"/>
          <w:szCs w:val="24"/>
          <w:highlight w:val="none"/>
        </w:rPr>
      </w:pPr>
      <w:r>
        <w:rPr>
          <w:rFonts w:ascii="微软雅黑" w:hAnsi="微软雅黑" w:eastAsia="微软雅黑" w:cs="微软雅黑"/>
          <w:spacing w:val="-6"/>
          <w:sz w:val="24"/>
          <w:szCs w:val="24"/>
          <w:highlight w:val="none"/>
        </w:rPr>
        <w:t>202</w:t>
      </w:r>
      <w:r>
        <w:rPr>
          <w:rFonts w:hint="eastAsia" w:ascii="微软雅黑" w:hAnsi="微软雅黑" w:eastAsia="微软雅黑" w:cs="微软雅黑"/>
          <w:spacing w:val="-6"/>
          <w:sz w:val="24"/>
          <w:szCs w:val="24"/>
          <w:highlight w:val="none"/>
          <w:lang w:val="en-US" w:eastAsia="zh-CN"/>
        </w:rPr>
        <w:t>3</w:t>
      </w:r>
      <w:r>
        <w:rPr>
          <w:rFonts w:ascii="微软雅黑" w:hAnsi="微软雅黑" w:eastAsia="微软雅黑" w:cs="微软雅黑"/>
          <w:spacing w:val="-6"/>
          <w:sz w:val="24"/>
          <w:szCs w:val="24"/>
          <w:highlight w:val="none"/>
        </w:rPr>
        <w:t>年，公司从能源管理的全方位出发，制定与管理方案和节能目标相适应的</w:t>
      </w:r>
      <w:r>
        <w:rPr>
          <w:rFonts w:ascii="微软雅黑" w:hAnsi="微软雅黑" w:eastAsia="微软雅黑" w:cs="微软雅黑"/>
          <w:spacing w:val="-7"/>
          <w:sz w:val="24"/>
          <w:szCs w:val="24"/>
          <w:highlight w:val="none"/>
        </w:rPr>
        <w:t>节能措施计</w:t>
      </w:r>
      <w:r>
        <w:rPr>
          <w:rFonts w:ascii="微软雅黑" w:hAnsi="微软雅黑" w:eastAsia="微软雅黑" w:cs="微软雅黑"/>
          <w:spacing w:val="-3"/>
          <w:sz w:val="24"/>
          <w:szCs w:val="24"/>
          <w:highlight w:val="none"/>
        </w:rPr>
        <w:t>划，使节能目标可测量，方案内容可执行，同时公司组建温室气体盘查和核查小组，每年对温</w:t>
      </w:r>
      <w:r>
        <w:rPr>
          <w:rFonts w:ascii="微软雅黑" w:hAnsi="微软雅黑" w:eastAsia="微软雅黑" w:cs="微软雅黑"/>
          <w:spacing w:val="-1"/>
          <w:sz w:val="24"/>
          <w:szCs w:val="24"/>
          <w:highlight w:val="none"/>
        </w:rPr>
        <w:t>室气体排放情况进行盘查，编制温室气体排查报告，结合我公司实际，特制定节能减排目标，</w:t>
      </w:r>
      <w:r>
        <w:rPr>
          <w:rFonts w:ascii="微软雅黑" w:hAnsi="微软雅黑" w:eastAsia="微软雅黑" w:cs="微软雅黑"/>
          <w:spacing w:val="-2"/>
          <w:sz w:val="24"/>
          <w:szCs w:val="24"/>
          <w:highlight w:val="none"/>
        </w:rPr>
        <w:t>力争202</w:t>
      </w:r>
      <w:r>
        <w:rPr>
          <w:rFonts w:hint="eastAsia" w:ascii="微软雅黑" w:hAnsi="微软雅黑" w:eastAsia="微软雅黑" w:cs="微软雅黑"/>
          <w:spacing w:val="-2"/>
          <w:sz w:val="24"/>
          <w:szCs w:val="24"/>
          <w:highlight w:val="none"/>
          <w:lang w:val="en-US" w:eastAsia="zh-CN"/>
        </w:rPr>
        <w:t>8</w:t>
      </w:r>
      <w:r>
        <w:rPr>
          <w:rFonts w:ascii="微软雅黑" w:hAnsi="微软雅黑" w:eastAsia="微软雅黑" w:cs="微软雅黑"/>
          <w:spacing w:val="-2"/>
          <w:sz w:val="24"/>
          <w:szCs w:val="24"/>
          <w:highlight w:val="none"/>
        </w:rPr>
        <w:t>年</w:t>
      </w:r>
      <w:r>
        <w:rPr>
          <w:rFonts w:hint="eastAsia" w:ascii="微软雅黑" w:hAnsi="微软雅黑" w:eastAsia="微软雅黑" w:cs="微软雅黑"/>
          <w:spacing w:val="-2"/>
          <w:sz w:val="24"/>
          <w:szCs w:val="24"/>
          <w:highlight w:val="none"/>
          <w:lang w:val="en-US" w:eastAsia="zh-CN"/>
        </w:rPr>
        <w:t>铝箔坯料</w:t>
      </w:r>
      <w:r>
        <w:rPr>
          <w:rFonts w:ascii="微软雅黑" w:hAnsi="微软雅黑" w:eastAsia="微软雅黑" w:cs="微软雅黑"/>
          <w:spacing w:val="-2"/>
          <w:sz w:val="24"/>
          <w:szCs w:val="24"/>
          <w:highlight w:val="none"/>
        </w:rPr>
        <w:t>生产当量二氧化碳排放量降到</w:t>
      </w:r>
      <w:r>
        <w:rPr>
          <w:rFonts w:hint="eastAsia" w:ascii="微软雅黑" w:hAnsi="微软雅黑" w:eastAsia="微软雅黑" w:cs="微软雅黑"/>
          <w:color w:val="auto"/>
          <w:spacing w:val="-2"/>
          <w:sz w:val="24"/>
          <w:szCs w:val="24"/>
          <w:highlight w:val="none"/>
          <w:lang w:val="en-US" w:eastAsia="zh-CN"/>
        </w:rPr>
        <w:t>0.60</w:t>
      </w:r>
      <w:r>
        <w:rPr>
          <w:rFonts w:ascii="微软雅黑" w:hAnsi="微软雅黑" w:eastAsia="微软雅黑" w:cs="微软雅黑"/>
          <w:color w:val="auto"/>
          <w:spacing w:val="-3"/>
          <w:sz w:val="24"/>
          <w:szCs w:val="24"/>
          <w:highlight w:val="none"/>
        </w:rPr>
        <w:t>以</w:t>
      </w:r>
      <w:r>
        <w:rPr>
          <w:rFonts w:ascii="微软雅黑" w:hAnsi="微软雅黑" w:eastAsia="微软雅黑" w:cs="微软雅黑"/>
          <w:spacing w:val="-3"/>
          <w:sz w:val="24"/>
          <w:szCs w:val="24"/>
          <w:highlight w:val="none"/>
        </w:rPr>
        <w:t>下。</w:t>
      </w:r>
    </w:p>
    <w:p w14:paraId="3BFEAC5B">
      <w:pPr>
        <w:spacing w:before="81" w:line="178" w:lineRule="auto"/>
        <w:ind w:left="2885" w:firstLine="952" w:firstLineChars="400"/>
        <w:rPr>
          <w:rFonts w:ascii="微软雅黑" w:hAnsi="微软雅黑" w:eastAsia="微软雅黑" w:cs="微软雅黑"/>
          <w:sz w:val="24"/>
          <w:szCs w:val="24"/>
          <w:highlight w:val="none"/>
        </w:rPr>
      </w:pPr>
      <w:r>
        <w:rPr>
          <w:rFonts w:ascii="微软雅黑" w:hAnsi="微软雅黑" w:eastAsia="微软雅黑" w:cs="微软雅黑"/>
          <w:b/>
          <w:bCs/>
          <w:spacing w:val="-1"/>
          <w:sz w:val="24"/>
          <w:szCs w:val="24"/>
          <w:highlight w:val="none"/>
        </w:rPr>
        <w:t>二氧化碳当量减排目标</w:t>
      </w:r>
    </w:p>
    <w:tbl>
      <w:tblPr>
        <w:tblStyle w:val="9"/>
        <w:tblW w:w="9514" w:type="dxa"/>
        <w:tblInd w:w="27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44"/>
        <w:gridCol w:w="3528"/>
        <w:gridCol w:w="3842"/>
      </w:tblGrid>
      <w:tr w14:paraId="324A7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1" w:hRule="atLeast"/>
        </w:trPr>
        <w:tc>
          <w:tcPr>
            <w:tcW w:w="2144" w:type="dxa"/>
            <w:vAlign w:val="top"/>
          </w:tcPr>
          <w:p w14:paraId="66C0EACE">
            <w:pPr>
              <w:spacing w:line="282" w:lineRule="auto"/>
              <w:rPr>
                <w:rFonts w:ascii="Arial"/>
                <w:sz w:val="21"/>
                <w:highlight w:val="none"/>
              </w:rPr>
            </w:pPr>
          </w:p>
          <w:p w14:paraId="1B998C89">
            <w:pPr>
              <w:spacing w:before="103" w:line="195" w:lineRule="auto"/>
              <w:ind w:left="1067"/>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公司</w:t>
            </w:r>
          </w:p>
        </w:tc>
        <w:tc>
          <w:tcPr>
            <w:tcW w:w="3528" w:type="dxa"/>
            <w:vAlign w:val="top"/>
          </w:tcPr>
          <w:p w14:paraId="58219799">
            <w:pPr>
              <w:spacing w:before="180" w:line="194" w:lineRule="auto"/>
              <w:ind w:left="980"/>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202</w:t>
            </w:r>
            <w:r>
              <w:rPr>
                <w:rFonts w:hint="eastAsia" w:ascii="微软雅黑" w:hAnsi="微软雅黑" w:eastAsia="微软雅黑" w:cs="微软雅黑"/>
                <w:color w:val="auto"/>
                <w:spacing w:val="-2"/>
                <w:sz w:val="24"/>
                <w:szCs w:val="24"/>
                <w:highlight w:val="none"/>
                <w:lang w:val="en-US" w:eastAsia="zh-CN"/>
              </w:rPr>
              <w:t>3</w:t>
            </w:r>
            <w:r>
              <w:rPr>
                <w:rFonts w:ascii="微软雅黑" w:hAnsi="微软雅黑" w:eastAsia="微软雅黑" w:cs="微软雅黑"/>
                <w:color w:val="auto"/>
                <w:spacing w:val="-2"/>
                <w:sz w:val="24"/>
                <w:szCs w:val="24"/>
                <w:highlight w:val="none"/>
              </w:rPr>
              <w:t>年实际排放量</w:t>
            </w:r>
          </w:p>
          <w:p w14:paraId="0D359F2E">
            <w:pPr>
              <w:spacing w:before="81" w:line="189" w:lineRule="auto"/>
              <w:ind w:left="1277"/>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(tCO</w:t>
            </w:r>
            <w:r>
              <w:rPr>
                <w:rFonts w:ascii="微软雅黑" w:hAnsi="微软雅黑" w:eastAsia="微软雅黑" w:cs="微软雅黑"/>
                <w:color w:val="auto"/>
                <w:spacing w:val="-3"/>
                <w:position w:val="-1"/>
                <w:sz w:val="16"/>
                <w:szCs w:val="16"/>
                <w:highlight w:val="none"/>
              </w:rPr>
              <w:t>2</w:t>
            </w:r>
            <w:r>
              <w:rPr>
                <w:rFonts w:ascii="微软雅黑" w:hAnsi="微软雅黑" w:eastAsia="微软雅黑" w:cs="微软雅黑"/>
                <w:color w:val="auto"/>
                <w:spacing w:val="-3"/>
                <w:sz w:val="24"/>
                <w:szCs w:val="24"/>
                <w:highlight w:val="none"/>
              </w:rPr>
              <w:t>/t产品)</w:t>
            </w:r>
          </w:p>
        </w:tc>
        <w:tc>
          <w:tcPr>
            <w:tcW w:w="3842" w:type="dxa"/>
            <w:vAlign w:val="top"/>
          </w:tcPr>
          <w:p w14:paraId="057D7097">
            <w:pPr>
              <w:spacing w:before="180" w:line="194" w:lineRule="auto"/>
              <w:ind w:left="1136"/>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202</w:t>
            </w:r>
            <w:r>
              <w:rPr>
                <w:rFonts w:hint="eastAsia" w:ascii="微软雅黑" w:hAnsi="微软雅黑" w:eastAsia="微软雅黑" w:cs="微软雅黑"/>
                <w:color w:val="auto"/>
                <w:spacing w:val="-2"/>
                <w:sz w:val="24"/>
                <w:szCs w:val="24"/>
                <w:highlight w:val="none"/>
                <w:lang w:val="en-US" w:eastAsia="zh-CN"/>
              </w:rPr>
              <w:t>4</w:t>
            </w:r>
            <w:r>
              <w:rPr>
                <w:rFonts w:ascii="微软雅黑" w:hAnsi="微软雅黑" w:eastAsia="微软雅黑" w:cs="微软雅黑"/>
                <w:color w:val="auto"/>
                <w:spacing w:val="-2"/>
                <w:sz w:val="24"/>
                <w:szCs w:val="24"/>
                <w:highlight w:val="none"/>
              </w:rPr>
              <w:t>年目标排放量</w:t>
            </w:r>
          </w:p>
          <w:p w14:paraId="1CAC137B">
            <w:pPr>
              <w:spacing w:before="81" w:line="189" w:lineRule="auto"/>
              <w:ind w:left="1421"/>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(tCO</w:t>
            </w:r>
            <w:r>
              <w:rPr>
                <w:rFonts w:ascii="微软雅黑" w:hAnsi="微软雅黑" w:eastAsia="微软雅黑" w:cs="微软雅黑"/>
                <w:color w:val="auto"/>
                <w:spacing w:val="-3"/>
                <w:position w:val="-1"/>
                <w:sz w:val="16"/>
                <w:szCs w:val="16"/>
                <w:highlight w:val="none"/>
              </w:rPr>
              <w:t>2</w:t>
            </w:r>
            <w:r>
              <w:rPr>
                <w:rFonts w:ascii="微软雅黑" w:hAnsi="微软雅黑" w:eastAsia="微软雅黑" w:cs="微软雅黑"/>
                <w:color w:val="auto"/>
                <w:spacing w:val="-3"/>
                <w:sz w:val="24"/>
                <w:szCs w:val="24"/>
                <w:highlight w:val="none"/>
              </w:rPr>
              <w:t>/t产品)</w:t>
            </w:r>
          </w:p>
        </w:tc>
      </w:tr>
      <w:tr w14:paraId="68F55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2144" w:type="dxa"/>
            <w:vAlign w:val="top"/>
          </w:tcPr>
          <w:p w14:paraId="53FE4FC0">
            <w:pPr>
              <w:spacing w:before="184" w:line="194" w:lineRule="auto"/>
              <w:ind w:left="828"/>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pacing w:val="-1"/>
                <w:sz w:val="24"/>
                <w:szCs w:val="24"/>
                <w:highlight w:val="none"/>
                <w:lang w:eastAsia="zh-CN"/>
              </w:rPr>
              <w:t>安徽美信</w:t>
            </w:r>
          </w:p>
        </w:tc>
        <w:tc>
          <w:tcPr>
            <w:tcW w:w="3528" w:type="dxa"/>
            <w:vAlign w:val="top"/>
          </w:tcPr>
          <w:p w14:paraId="5118C5B0">
            <w:pPr>
              <w:spacing w:before="194" w:line="172" w:lineRule="auto"/>
              <w:ind w:left="1696"/>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pacing w:val="-2"/>
                <w:sz w:val="24"/>
                <w:szCs w:val="24"/>
                <w:highlight w:val="none"/>
                <w:lang w:val="en-US" w:eastAsia="zh-CN"/>
              </w:rPr>
              <w:t>0.723</w:t>
            </w:r>
          </w:p>
        </w:tc>
        <w:tc>
          <w:tcPr>
            <w:tcW w:w="3842" w:type="dxa"/>
            <w:vAlign w:val="top"/>
          </w:tcPr>
          <w:p w14:paraId="7BFDDA7B">
            <w:pPr>
              <w:spacing w:before="193" w:line="172" w:lineRule="auto"/>
              <w:ind w:left="1853"/>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pacing w:val="-2"/>
                <w:sz w:val="24"/>
                <w:szCs w:val="24"/>
                <w:highlight w:val="none"/>
                <w:lang w:val="en-US" w:eastAsia="zh-CN"/>
              </w:rPr>
              <w:t>0.709</w:t>
            </w:r>
          </w:p>
        </w:tc>
      </w:tr>
    </w:tbl>
    <w:p w14:paraId="3ACB61E0">
      <w:pPr>
        <w:pStyle w:val="3"/>
        <w:rPr>
          <w:highlight w:val="none"/>
        </w:rPr>
      </w:pPr>
    </w:p>
    <w:p w14:paraId="50FB9543">
      <w:pPr>
        <w:rPr>
          <w:highlight w:val="none"/>
        </w:rPr>
        <w:sectPr>
          <w:footerReference r:id="rId16" w:type="default"/>
          <w:pgSz w:w="11907" w:h="16839"/>
          <w:pgMar w:top="1208" w:right="1018" w:bottom="1251" w:left="1022" w:header="0" w:footer="1047" w:gutter="0"/>
          <w:pgNumType w:fmt="decimal"/>
          <w:cols w:space="720" w:num="1"/>
        </w:sectPr>
      </w:pPr>
    </w:p>
    <w:p w14:paraId="40510CB4">
      <w:pPr>
        <w:spacing w:before="222" w:line="193" w:lineRule="auto"/>
        <w:ind w:left="17"/>
        <w:outlineLvl w:val="0"/>
        <w:rPr>
          <w:rFonts w:ascii="微软雅黑" w:hAnsi="微软雅黑" w:eastAsia="微软雅黑" w:cs="微软雅黑"/>
          <w:sz w:val="24"/>
          <w:szCs w:val="24"/>
          <w:highlight w:val="none"/>
        </w:rPr>
      </w:pPr>
      <w:bookmarkStart w:id="23" w:name="bookmark24"/>
      <w:bookmarkEnd w:id="23"/>
      <w:r>
        <w:rPr>
          <w:rFonts w:ascii="微软雅黑" w:hAnsi="微软雅黑" w:eastAsia="微软雅黑" w:cs="微软雅黑"/>
          <w:b/>
          <w:bCs/>
          <w:spacing w:val="-3"/>
          <w:sz w:val="24"/>
          <w:szCs w:val="24"/>
          <w:highlight w:val="none"/>
        </w:rPr>
        <w:t>3、生物多样性</w:t>
      </w:r>
    </w:p>
    <w:p w14:paraId="2E07D055">
      <w:pPr>
        <w:spacing w:before="76" w:line="231" w:lineRule="auto"/>
        <w:ind w:right="75" w:firstLine="482"/>
        <w:jc w:val="both"/>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生物多样性是人类社会赖以生存和发展的基础，也是衡量一个地区环境质量和生态文明程</w:t>
      </w:r>
      <w:r>
        <w:rPr>
          <w:rFonts w:ascii="微软雅黑" w:hAnsi="微软雅黑" w:eastAsia="微软雅黑" w:cs="微软雅黑"/>
          <w:spacing w:val="1"/>
          <w:sz w:val="24"/>
          <w:szCs w:val="24"/>
          <w:highlight w:val="none"/>
        </w:rPr>
        <w:t>度的重要标志。公司对大自然始终怀有敬畏之心</w:t>
      </w:r>
      <w:r>
        <w:rPr>
          <w:rFonts w:ascii="微软雅黑" w:hAnsi="微软雅黑" w:eastAsia="微软雅黑" w:cs="微软雅黑"/>
          <w:sz w:val="24"/>
          <w:szCs w:val="24"/>
          <w:highlight w:val="none"/>
        </w:rPr>
        <w:t>，将生物多样性保护、生态环保、防止水土流</w:t>
      </w:r>
      <w:r>
        <w:rPr>
          <w:rFonts w:ascii="微软雅黑" w:hAnsi="微软雅黑" w:eastAsia="微软雅黑" w:cs="微软雅黑"/>
          <w:spacing w:val="1"/>
          <w:sz w:val="24"/>
          <w:szCs w:val="24"/>
          <w:highlight w:val="none"/>
        </w:rPr>
        <w:t>失等作为项目改造、运营、维护的重要衡量指标</w:t>
      </w:r>
      <w:r>
        <w:rPr>
          <w:rFonts w:ascii="微软雅黑" w:hAnsi="微软雅黑" w:eastAsia="微软雅黑" w:cs="微软雅黑"/>
          <w:sz w:val="24"/>
          <w:szCs w:val="24"/>
          <w:highlight w:val="none"/>
        </w:rPr>
        <w:t>。所有运营项目严格执行《中华人民共和国水</w:t>
      </w:r>
      <w:r>
        <w:rPr>
          <w:rFonts w:ascii="微软雅黑" w:hAnsi="微软雅黑" w:eastAsia="微软雅黑" w:cs="微软雅黑"/>
          <w:spacing w:val="-11"/>
          <w:sz w:val="24"/>
          <w:szCs w:val="24"/>
          <w:highlight w:val="none"/>
        </w:rPr>
        <w:t>土保持法》《建设项目环境保护管理条例》等国家法律法规，开展生态环境保护的排查，努力打</w:t>
      </w:r>
      <w:r>
        <w:rPr>
          <w:rFonts w:ascii="微软雅黑" w:hAnsi="微软雅黑" w:eastAsia="微软雅黑" w:cs="微软雅黑"/>
          <w:spacing w:val="-4"/>
          <w:sz w:val="24"/>
          <w:szCs w:val="24"/>
          <w:highlight w:val="none"/>
        </w:rPr>
        <w:t>造与环境和谐共存的绿色工厂。</w:t>
      </w:r>
    </w:p>
    <w:p w14:paraId="205E2C14">
      <w:pPr>
        <w:spacing w:before="78" w:line="217" w:lineRule="auto"/>
        <w:ind w:left="2" w:right="79" w:firstLine="481"/>
        <w:jc w:val="both"/>
        <w:rPr>
          <w:rFonts w:ascii="微软雅黑" w:hAnsi="微软雅黑" w:eastAsia="微软雅黑" w:cs="微软雅黑"/>
          <w:sz w:val="24"/>
          <w:szCs w:val="24"/>
          <w:highlight w:val="none"/>
        </w:rPr>
      </w:pPr>
      <w:r>
        <w:rPr>
          <w:rFonts w:ascii="微软雅黑" w:hAnsi="微软雅黑" w:eastAsia="微软雅黑" w:cs="微软雅黑"/>
          <w:spacing w:val="-7"/>
          <w:sz w:val="24"/>
          <w:szCs w:val="24"/>
          <w:highlight w:val="none"/>
        </w:rPr>
        <w:t>经调查得知，项目周边500m范围内，无列入《</w:t>
      </w:r>
      <w:r>
        <w:rPr>
          <w:rFonts w:ascii="微软雅黑" w:hAnsi="微软雅黑" w:eastAsia="微软雅黑" w:cs="微软雅黑"/>
          <w:spacing w:val="-8"/>
          <w:sz w:val="24"/>
          <w:szCs w:val="24"/>
          <w:highlight w:val="none"/>
        </w:rPr>
        <w:t>国家重点保护野生植物名录》和《国家重</w:t>
      </w:r>
      <w:r>
        <w:rPr>
          <w:rFonts w:ascii="微软雅黑" w:hAnsi="微软雅黑" w:eastAsia="微软雅黑" w:cs="微软雅黑"/>
          <w:spacing w:val="-4"/>
          <w:sz w:val="24"/>
          <w:szCs w:val="24"/>
          <w:highlight w:val="none"/>
        </w:rPr>
        <w:t>点保护野生动物名录》的动植物。</w:t>
      </w:r>
    </w:p>
    <w:p w14:paraId="4F8146D3">
      <w:pPr>
        <w:spacing w:before="78"/>
        <w:ind w:left="483"/>
        <w:rPr>
          <w:rFonts w:ascii="微软雅黑" w:hAnsi="微软雅黑" w:eastAsia="微软雅黑" w:cs="微软雅黑"/>
          <w:sz w:val="24"/>
          <w:szCs w:val="24"/>
          <w:highlight w:val="none"/>
        </w:rPr>
      </w:pPr>
      <w:r>
        <w:rPr>
          <w:rFonts w:ascii="微软雅黑" w:hAnsi="微软雅黑" w:eastAsia="微软雅黑" w:cs="微软雅黑"/>
          <w:spacing w:val="-6"/>
          <w:sz w:val="24"/>
          <w:szCs w:val="24"/>
          <w:highlight w:val="none"/>
        </w:rPr>
        <w:t>经过综合评估，公司的生物多样性风险为</w:t>
      </w:r>
      <w:r>
        <w:rPr>
          <w:rFonts w:ascii="微软雅黑" w:hAnsi="微软雅黑" w:eastAsia="微软雅黑" w:cs="微软雅黑"/>
          <w:spacing w:val="-7"/>
          <w:sz w:val="24"/>
          <w:szCs w:val="24"/>
          <w:highlight w:val="none"/>
        </w:rPr>
        <w:t>“低”。</w:t>
      </w:r>
    </w:p>
    <w:p w14:paraId="2D36CBA2">
      <w:pPr>
        <w:spacing w:before="1" w:line="189" w:lineRule="auto"/>
        <w:ind w:left="497"/>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(详细见《生物多样性风险评估报告》)。</w:t>
      </w:r>
    </w:p>
    <w:p w14:paraId="37BC2556">
      <w:pPr>
        <w:pStyle w:val="3"/>
        <w:spacing w:line="393" w:lineRule="auto"/>
        <w:rPr>
          <w:highlight w:val="none"/>
        </w:rPr>
      </w:pPr>
    </w:p>
    <w:p w14:paraId="189C8209">
      <w:pPr>
        <w:spacing w:before="103" w:line="194" w:lineRule="auto"/>
        <w:ind w:left="2"/>
        <w:outlineLvl w:val="0"/>
        <w:rPr>
          <w:rFonts w:ascii="微软雅黑" w:hAnsi="微软雅黑" w:eastAsia="微软雅黑" w:cs="微软雅黑"/>
          <w:sz w:val="24"/>
          <w:szCs w:val="24"/>
          <w:highlight w:val="none"/>
        </w:rPr>
      </w:pPr>
      <w:bookmarkStart w:id="24" w:name="bookmark25"/>
      <w:bookmarkEnd w:id="24"/>
      <w:r>
        <w:rPr>
          <w:rFonts w:ascii="微软雅黑" w:hAnsi="微软雅黑" w:eastAsia="微软雅黑" w:cs="微软雅黑"/>
          <w:b/>
          <w:bCs/>
          <w:spacing w:val="-1"/>
          <w:sz w:val="24"/>
          <w:szCs w:val="24"/>
          <w:highlight w:val="none"/>
        </w:rPr>
        <w:t>4、绿色办公</w:t>
      </w:r>
    </w:p>
    <w:p w14:paraId="0A48C65A">
      <w:pPr>
        <w:spacing w:before="81" w:line="216" w:lineRule="auto"/>
        <w:ind w:left="1" w:right="77" w:firstLine="479"/>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公司主张低碳办公，将节能减排的理念融入到日常办公中，提倡无纸化办公，从细节、点</w:t>
      </w:r>
      <w:r>
        <w:rPr>
          <w:rFonts w:ascii="微软雅黑" w:hAnsi="微软雅黑" w:eastAsia="微软雅黑" w:cs="微软雅黑"/>
          <w:spacing w:val="-1"/>
          <w:sz w:val="24"/>
          <w:szCs w:val="24"/>
          <w:highlight w:val="none"/>
        </w:rPr>
        <w:t>滴入手，从身边的小事做起，节约每一滴水、每一张纸，营造“</w:t>
      </w:r>
      <w:r>
        <w:rPr>
          <w:rFonts w:ascii="微软雅黑" w:hAnsi="微软雅黑" w:eastAsia="微软雅黑" w:cs="微软雅黑"/>
          <w:spacing w:val="-2"/>
          <w:sz w:val="24"/>
          <w:szCs w:val="24"/>
          <w:highlight w:val="none"/>
        </w:rPr>
        <w:t>绿色低碳的工作氛围。</w:t>
      </w:r>
    </w:p>
    <w:p w14:paraId="4440D2C6">
      <w:pPr>
        <w:spacing w:before="81" w:line="217" w:lineRule="auto"/>
        <w:ind w:left="1" w:firstLine="495"/>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(1)节电：推广使用节能灯具，进行节能灯具改造，培养员工</w:t>
      </w:r>
      <w:r>
        <w:rPr>
          <w:rFonts w:hint="eastAsia" w:ascii="微软雅黑" w:hAnsi="微软雅黑" w:eastAsia="微软雅黑" w:cs="微软雅黑"/>
          <w:sz w:val="24"/>
          <w:szCs w:val="24"/>
          <w:highlight w:val="none"/>
          <w:lang w:eastAsia="zh-CN"/>
        </w:rPr>
        <w:t>养成</w:t>
      </w:r>
      <w:r>
        <w:rPr>
          <w:rFonts w:ascii="微软雅黑" w:hAnsi="微软雅黑" w:eastAsia="微软雅黑" w:cs="微软雅黑"/>
          <w:sz w:val="24"/>
          <w:szCs w:val="24"/>
          <w:highlight w:val="none"/>
        </w:rPr>
        <w:t>“人走灯灭”的习惯，走廊、</w:t>
      </w:r>
      <w:r>
        <w:rPr>
          <w:rFonts w:ascii="微软雅黑" w:hAnsi="微软雅黑" w:eastAsia="微软雅黑" w:cs="微软雅黑"/>
          <w:spacing w:val="-4"/>
          <w:sz w:val="24"/>
          <w:szCs w:val="24"/>
          <w:highlight w:val="none"/>
        </w:rPr>
        <w:t>楼梯灯具采用定时、声控两种方式。</w:t>
      </w:r>
    </w:p>
    <w:p w14:paraId="7DE7DF81">
      <w:pPr>
        <w:spacing w:before="79" w:line="189" w:lineRule="auto"/>
        <w:ind w:left="497"/>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(2)节水：使用节水型器具，定期检查，杜绝跑</w:t>
      </w:r>
      <w:r>
        <w:rPr>
          <w:rFonts w:ascii="微软雅黑" w:hAnsi="微软雅黑" w:eastAsia="微软雅黑" w:cs="微软雅黑"/>
          <w:spacing w:val="-3"/>
          <w:sz w:val="24"/>
          <w:szCs w:val="24"/>
          <w:highlight w:val="none"/>
        </w:rPr>
        <w:t>冒滴漏现象。</w:t>
      </w:r>
    </w:p>
    <w:p w14:paraId="1A3A39F8">
      <w:pPr>
        <w:spacing w:before="89" w:line="189" w:lineRule="auto"/>
        <w:ind w:left="497"/>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(3)节纸：完善信息办公系统，推行无纸化办公，文件双面打</w:t>
      </w:r>
      <w:r>
        <w:rPr>
          <w:rFonts w:ascii="微软雅黑" w:hAnsi="微软雅黑" w:eastAsia="微软雅黑" w:cs="微软雅黑"/>
          <w:spacing w:val="-3"/>
          <w:sz w:val="24"/>
          <w:szCs w:val="24"/>
          <w:highlight w:val="none"/>
        </w:rPr>
        <w:t>印。</w:t>
      </w:r>
    </w:p>
    <w:p w14:paraId="23B8E043">
      <w:pPr>
        <w:spacing w:before="86" w:line="217" w:lineRule="auto"/>
        <w:ind w:left="2" w:right="73" w:firstLine="494"/>
        <w:jc w:val="both"/>
        <w:rPr>
          <w:rFonts w:ascii="微软雅黑" w:hAnsi="微软雅黑" w:eastAsia="微软雅黑" w:cs="微软雅黑"/>
          <w:sz w:val="24"/>
          <w:szCs w:val="24"/>
          <w:highlight w:val="none"/>
        </w:rPr>
      </w:pPr>
      <w:r>
        <w:rPr>
          <w:rFonts w:ascii="微软雅黑" w:hAnsi="微软雅黑" w:eastAsia="微软雅黑" w:cs="微软雅黑"/>
          <w:spacing w:val="-10"/>
          <w:sz w:val="24"/>
          <w:szCs w:val="24"/>
          <w:highlight w:val="none"/>
        </w:rPr>
        <w:t>(4)节能：加强空调管理，夏季不得低于26摄氏度，冬季不高于18摄氏度，春秋根据气温</w:t>
      </w:r>
      <w:r>
        <w:rPr>
          <w:rFonts w:ascii="微软雅黑" w:hAnsi="微软雅黑" w:eastAsia="微软雅黑" w:cs="微软雅黑"/>
          <w:spacing w:val="-7"/>
          <w:sz w:val="24"/>
          <w:szCs w:val="24"/>
          <w:highlight w:val="none"/>
        </w:rPr>
        <w:t>安排空调使用。</w:t>
      </w:r>
    </w:p>
    <w:p w14:paraId="373EE0CF">
      <w:pPr>
        <w:pStyle w:val="3"/>
        <w:spacing w:line="386" w:lineRule="auto"/>
        <w:rPr>
          <w:highlight w:val="none"/>
        </w:rPr>
      </w:pPr>
    </w:p>
    <w:p w14:paraId="546115A4">
      <w:pPr>
        <w:spacing w:before="103" w:line="194" w:lineRule="auto"/>
        <w:ind w:left="18"/>
        <w:outlineLvl w:val="0"/>
        <w:rPr>
          <w:rFonts w:ascii="微软雅黑" w:hAnsi="微软雅黑" w:eastAsia="微软雅黑" w:cs="微软雅黑"/>
          <w:sz w:val="24"/>
          <w:szCs w:val="24"/>
          <w:highlight w:val="none"/>
        </w:rPr>
      </w:pPr>
      <w:bookmarkStart w:id="25" w:name="bookmark26"/>
      <w:bookmarkEnd w:id="25"/>
      <w:r>
        <w:rPr>
          <w:rFonts w:ascii="微软雅黑" w:hAnsi="微软雅黑" w:eastAsia="微软雅黑" w:cs="微软雅黑"/>
          <w:b/>
          <w:bCs/>
          <w:spacing w:val="-3"/>
          <w:sz w:val="24"/>
          <w:szCs w:val="24"/>
          <w:highlight w:val="none"/>
        </w:rPr>
        <w:t>5、固废管控</w:t>
      </w:r>
    </w:p>
    <w:p w14:paraId="498AB788">
      <w:pPr>
        <w:spacing w:before="79" w:line="224" w:lineRule="auto"/>
        <w:ind w:left="3" w:right="74" w:firstLine="478"/>
        <w:jc w:val="both"/>
        <w:rPr>
          <w:rFonts w:ascii="微软雅黑" w:hAnsi="微软雅黑" w:eastAsia="微软雅黑" w:cs="微软雅黑"/>
          <w:sz w:val="24"/>
          <w:szCs w:val="24"/>
          <w:highlight w:val="none"/>
        </w:rPr>
      </w:pPr>
      <w:r>
        <w:rPr>
          <w:rFonts w:ascii="微软雅黑" w:hAnsi="微软雅黑" w:eastAsia="微软雅黑" w:cs="微软雅黑"/>
          <w:spacing w:val="-5"/>
          <w:sz w:val="24"/>
          <w:szCs w:val="24"/>
          <w:highlight w:val="none"/>
        </w:rPr>
        <w:t>公司严格遵守《中华人民共和国固体废弃物污</w:t>
      </w:r>
      <w:r>
        <w:rPr>
          <w:rFonts w:ascii="微软雅黑" w:hAnsi="微软雅黑" w:eastAsia="微软雅黑" w:cs="微软雅黑"/>
          <w:spacing w:val="-6"/>
          <w:sz w:val="24"/>
          <w:szCs w:val="24"/>
          <w:highlight w:val="none"/>
        </w:rPr>
        <w:t>染环境防治法》，按照“减量化、资源化、无</w:t>
      </w:r>
      <w:r>
        <w:rPr>
          <w:rFonts w:ascii="微软雅黑" w:hAnsi="微软雅黑" w:eastAsia="微软雅黑" w:cs="微软雅黑"/>
          <w:sz w:val="24"/>
          <w:szCs w:val="24"/>
          <w:highlight w:val="none"/>
        </w:rPr>
        <w:t>害化”的原则对固体废弃物进行分类收集、处理，积极探索废物资源最大化利用途径，不断提</w:t>
      </w:r>
      <w:r>
        <w:rPr>
          <w:rFonts w:ascii="微软雅黑" w:hAnsi="微软雅黑" w:eastAsia="微软雅黑" w:cs="微软雅黑"/>
          <w:spacing w:val="-5"/>
          <w:sz w:val="24"/>
          <w:szCs w:val="24"/>
          <w:highlight w:val="none"/>
        </w:rPr>
        <w:t>高服务的充分利用率，减少自身废物排放，2</w:t>
      </w:r>
      <w:r>
        <w:rPr>
          <w:rFonts w:ascii="微软雅黑" w:hAnsi="微软雅黑" w:eastAsia="微软雅黑" w:cs="微软雅黑"/>
          <w:spacing w:val="-6"/>
          <w:sz w:val="24"/>
          <w:szCs w:val="24"/>
          <w:highlight w:val="none"/>
        </w:rPr>
        <w:t>02</w:t>
      </w:r>
      <w:r>
        <w:rPr>
          <w:rFonts w:hint="eastAsia" w:ascii="微软雅黑" w:hAnsi="微软雅黑" w:eastAsia="微软雅黑" w:cs="微软雅黑"/>
          <w:spacing w:val="-6"/>
          <w:sz w:val="24"/>
          <w:szCs w:val="24"/>
          <w:highlight w:val="none"/>
          <w:lang w:val="en-US" w:eastAsia="zh-CN"/>
        </w:rPr>
        <w:t>3</w:t>
      </w:r>
      <w:r>
        <w:rPr>
          <w:rFonts w:ascii="微软雅黑" w:hAnsi="微软雅黑" w:eastAsia="微软雅黑" w:cs="微软雅黑"/>
          <w:spacing w:val="-6"/>
          <w:sz w:val="24"/>
          <w:szCs w:val="24"/>
          <w:highlight w:val="none"/>
        </w:rPr>
        <w:t>年普通废物处理率100%。</w:t>
      </w:r>
    </w:p>
    <w:p w14:paraId="452B96B9">
      <w:pPr>
        <w:spacing w:before="79" w:line="225" w:lineRule="auto"/>
        <w:ind w:left="1" w:right="75" w:firstLine="480"/>
        <w:jc w:val="both"/>
        <w:rPr>
          <w:rFonts w:ascii="微软雅黑" w:hAnsi="微软雅黑" w:eastAsia="微软雅黑" w:cs="微软雅黑"/>
          <w:spacing w:val="-2"/>
          <w:sz w:val="24"/>
          <w:szCs w:val="24"/>
          <w:highlight w:val="none"/>
        </w:rPr>
      </w:pPr>
      <w:r>
        <w:rPr>
          <w:rFonts w:ascii="微软雅黑" w:hAnsi="微软雅黑" w:eastAsia="微软雅黑" w:cs="微软雅黑"/>
          <w:sz w:val="24"/>
          <w:szCs w:val="24"/>
          <w:highlight w:val="none"/>
        </w:rPr>
        <w:t>公司的主要废弃物包括废硅藻土、废油等。公司严格遵守《危险废物收集、贮</w:t>
      </w:r>
      <w:r>
        <w:rPr>
          <w:rFonts w:ascii="微软雅黑" w:hAnsi="微软雅黑" w:eastAsia="微软雅黑" w:cs="微软雅黑"/>
          <w:spacing w:val="-5"/>
          <w:sz w:val="24"/>
          <w:szCs w:val="24"/>
          <w:highlight w:val="none"/>
        </w:rPr>
        <w:t>存、运输技术规范》</w:t>
      </w:r>
      <w:r>
        <w:rPr>
          <w:rFonts w:hint="eastAsia" w:ascii="微软雅黑" w:hAnsi="微软雅黑" w:eastAsia="微软雅黑" w:cs="微软雅黑"/>
          <w:b/>
          <w:bCs/>
          <w:spacing w:val="-5"/>
          <w:sz w:val="15"/>
          <w:szCs w:val="15"/>
          <w:highlight w:val="none"/>
          <w:lang w:eastAsia="zh-CN"/>
        </w:rPr>
        <w:t>、</w:t>
      </w:r>
      <w:r>
        <w:rPr>
          <w:rFonts w:ascii="微软雅黑" w:hAnsi="微软雅黑" w:eastAsia="微软雅黑" w:cs="微软雅黑"/>
          <w:spacing w:val="-5"/>
          <w:sz w:val="24"/>
          <w:szCs w:val="24"/>
          <w:highlight w:val="none"/>
        </w:rPr>
        <w:t>《危险废物转移联单管理办法》等法律法规要求，</w:t>
      </w:r>
      <w:r>
        <w:rPr>
          <w:rFonts w:ascii="微软雅黑" w:hAnsi="微软雅黑" w:eastAsia="微软雅黑" w:cs="微软雅黑"/>
          <w:spacing w:val="-6"/>
          <w:sz w:val="24"/>
          <w:szCs w:val="24"/>
          <w:highlight w:val="none"/>
        </w:rPr>
        <w:t>从源头减少有害废弃物</w:t>
      </w:r>
      <w:r>
        <w:rPr>
          <w:rFonts w:ascii="微软雅黑" w:hAnsi="微软雅黑" w:eastAsia="微软雅黑" w:cs="微软雅黑"/>
          <w:spacing w:val="-2"/>
          <w:sz w:val="24"/>
          <w:szCs w:val="24"/>
          <w:highlight w:val="none"/>
        </w:rPr>
        <w:t>的产生，委托有危险废物处置资质的单位进行处理，降低对环境的影响。</w:t>
      </w:r>
    </w:p>
    <w:p w14:paraId="39C81016">
      <w:pPr>
        <w:spacing w:before="79" w:line="225" w:lineRule="auto"/>
        <w:ind w:left="1" w:right="75" w:firstLine="480"/>
        <w:jc w:val="both"/>
        <w:rPr>
          <w:rFonts w:hint="eastAsia" w:ascii="微软雅黑" w:hAnsi="微软雅黑" w:eastAsia="微软雅黑" w:cs="微软雅黑"/>
          <w:spacing w:val="-2"/>
          <w:sz w:val="24"/>
          <w:szCs w:val="24"/>
          <w:highlight w:val="none"/>
          <w:lang w:eastAsia="zh-CN"/>
        </w:rPr>
      </w:pPr>
    </w:p>
    <w:p w14:paraId="0BDAA0FB">
      <w:pPr>
        <w:spacing w:before="79" w:line="225" w:lineRule="auto"/>
        <w:ind w:left="1" w:right="75" w:firstLine="480"/>
        <w:jc w:val="both"/>
        <w:rPr>
          <w:rFonts w:ascii="微软雅黑" w:hAnsi="微软雅黑" w:eastAsia="微软雅黑" w:cs="微软雅黑"/>
          <w:spacing w:val="-2"/>
          <w:sz w:val="24"/>
          <w:szCs w:val="24"/>
          <w:highlight w:val="none"/>
        </w:rPr>
      </w:pPr>
    </w:p>
    <w:p w14:paraId="1DDF1E3D">
      <w:pPr>
        <w:spacing w:before="79" w:line="225" w:lineRule="auto"/>
        <w:ind w:left="1" w:right="75" w:firstLine="480"/>
        <w:jc w:val="both"/>
        <w:rPr>
          <w:rFonts w:ascii="微软雅黑" w:hAnsi="微软雅黑" w:eastAsia="微软雅黑" w:cs="微软雅黑"/>
          <w:spacing w:val="-2"/>
          <w:sz w:val="24"/>
          <w:szCs w:val="24"/>
          <w:highlight w:val="none"/>
        </w:rPr>
      </w:pPr>
    </w:p>
    <w:p w14:paraId="37EDF67E">
      <w:pPr>
        <w:spacing w:before="79" w:line="225" w:lineRule="auto"/>
        <w:ind w:left="1" w:right="75" w:firstLine="480"/>
        <w:jc w:val="both"/>
        <w:rPr>
          <w:rFonts w:ascii="微软雅黑" w:hAnsi="微软雅黑" w:eastAsia="微软雅黑" w:cs="微软雅黑"/>
          <w:spacing w:val="-2"/>
          <w:sz w:val="24"/>
          <w:szCs w:val="24"/>
          <w:highlight w:val="none"/>
        </w:rPr>
      </w:pPr>
    </w:p>
    <w:p w14:paraId="3F713728">
      <w:pPr>
        <w:spacing w:before="79" w:line="225" w:lineRule="auto"/>
        <w:ind w:left="1" w:right="75" w:firstLine="480"/>
        <w:jc w:val="both"/>
        <w:rPr>
          <w:rFonts w:ascii="微软雅黑" w:hAnsi="微软雅黑" w:eastAsia="微软雅黑" w:cs="微软雅黑"/>
          <w:spacing w:val="-2"/>
          <w:sz w:val="24"/>
          <w:szCs w:val="24"/>
          <w:highlight w:val="none"/>
        </w:rPr>
      </w:pPr>
    </w:p>
    <w:p w14:paraId="33347398">
      <w:pPr>
        <w:spacing w:before="79" w:line="225" w:lineRule="auto"/>
        <w:ind w:left="1" w:right="75" w:firstLine="480"/>
        <w:jc w:val="both"/>
        <w:rPr>
          <w:rFonts w:ascii="微软雅黑" w:hAnsi="微软雅黑" w:eastAsia="微软雅黑" w:cs="微软雅黑"/>
          <w:spacing w:val="-2"/>
          <w:sz w:val="24"/>
          <w:szCs w:val="24"/>
          <w:highlight w:val="none"/>
        </w:rPr>
      </w:pPr>
    </w:p>
    <w:p w14:paraId="64E47899">
      <w:pPr>
        <w:spacing w:before="77" w:line="194" w:lineRule="auto"/>
        <w:ind w:left="492"/>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2"/>
          <w:sz w:val="24"/>
          <w:szCs w:val="24"/>
          <w:highlight w:val="none"/>
        </w:rPr>
        <w:t>202</w:t>
      </w:r>
      <w:r>
        <w:rPr>
          <w:rFonts w:hint="eastAsia" w:ascii="微软雅黑" w:hAnsi="微软雅黑" w:eastAsia="微软雅黑" w:cs="微软雅黑"/>
          <w:spacing w:val="-2"/>
          <w:sz w:val="24"/>
          <w:szCs w:val="24"/>
          <w:highlight w:val="none"/>
          <w:lang w:val="en-US" w:eastAsia="zh-CN"/>
        </w:rPr>
        <w:t>3</w:t>
      </w:r>
      <w:r>
        <w:rPr>
          <w:rFonts w:ascii="微软雅黑" w:hAnsi="微软雅黑" w:eastAsia="微软雅黑" w:cs="微软雅黑"/>
          <w:spacing w:val="-2"/>
          <w:sz w:val="24"/>
          <w:szCs w:val="24"/>
          <w:highlight w:val="none"/>
        </w:rPr>
        <w:t>年，公司产生的危险废物和非危险</w:t>
      </w:r>
      <w:r>
        <w:rPr>
          <w:rFonts w:ascii="微软雅黑" w:hAnsi="微软雅黑" w:eastAsia="微软雅黑" w:cs="微软雅黑"/>
          <w:spacing w:val="-3"/>
          <w:sz w:val="24"/>
          <w:szCs w:val="24"/>
          <w:highlight w:val="none"/>
        </w:rPr>
        <w:t>废物处理情况</w:t>
      </w:r>
      <w:r>
        <w:rPr>
          <w:rFonts w:hint="eastAsia" w:ascii="微软雅黑" w:hAnsi="微软雅黑" w:eastAsia="微软雅黑" w:cs="微软雅黑"/>
          <w:spacing w:val="-3"/>
          <w:sz w:val="24"/>
          <w:szCs w:val="24"/>
          <w:highlight w:val="none"/>
          <w:lang w:val="en-US" w:eastAsia="zh-CN"/>
        </w:rPr>
        <w:t>如下</w:t>
      </w:r>
      <w:r>
        <w:rPr>
          <w:rFonts w:ascii="微软雅黑" w:hAnsi="微软雅黑" w:eastAsia="微软雅黑" w:cs="微软雅黑"/>
          <w:spacing w:val="-3"/>
          <w:sz w:val="24"/>
          <w:szCs w:val="24"/>
          <w:highlight w:val="none"/>
        </w:rPr>
        <w:t>：</w:t>
      </w:r>
    </w:p>
    <w:tbl>
      <w:tblPr>
        <w:tblStyle w:val="6"/>
        <w:tblW w:w="9070" w:type="dxa"/>
        <w:jc w:val="center"/>
        <w:tblLayout w:type="fixed"/>
        <w:tblCellMar>
          <w:top w:w="0" w:type="dxa"/>
          <w:left w:w="108" w:type="dxa"/>
          <w:bottom w:w="0" w:type="dxa"/>
          <w:right w:w="108" w:type="dxa"/>
        </w:tblCellMar>
      </w:tblPr>
      <w:tblGrid>
        <w:gridCol w:w="1446"/>
        <w:gridCol w:w="2653"/>
        <w:gridCol w:w="1928"/>
        <w:gridCol w:w="3043"/>
      </w:tblGrid>
      <w:tr w14:paraId="1F5B96D8">
        <w:tblPrEx>
          <w:tblCellMar>
            <w:top w:w="0" w:type="dxa"/>
            <w:left w:w="108" w:type="dxa"/>
            <w:bottom w:w="0" w:type="dxa"/>
            <w:right w:w="108" w:type="dxa"/>
          </w:tblCellMar>
        </w:tblPrEx>
        <w:trPr>
          <w:trHeight w:val="503" w:hRule="atLeast"/>
          <w:jc w:val="center"/>
        </w:trPr>
        <w:tc>
          <w:tcPr>
            <w:tcW w:w="1446" w:type="dxa"/>
            <w:tcBorders>
              <w:top w:val="single" w:color="auto" w:sz="8" w:space="0"/>
              <w:left w:val="single" w:color="auto" w:sz="4" w:space="0"/>
              <w:bottom w:val="single" w:color="auto" w:sz="4" w:space="0"/>
              <w:right w:val="single" w:color="auto" w:sz="4" w:space="0"/>
            </w:tcBorders>
            <w:noWrap w:val="0"/>
            <w:vAlign w:val="center"/>
          </w:tcPr>
          <w:p w14:paraId="577C946D">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jc w:val="center"/>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b/>
                <w:bCs/>
                <w:sz w:val="24"/>
                <w:szCs w:val="24"/>
                <w:highlight w:val="none"/>
              </w:rPr>
              <w:t>类别</w:t>
            </w:r>
          </w:p>
        </w:tc>
        <w:tc>
          <w:tcPr>
            <w:tcW w:w="2653" w:type="dxa"/>
            <w:tcBorders>
              <w:top w:val="single" w:color="auto" w:sz="8" w:space="0"/>
              <w:left w:val="single" w:color="auto" w:sz="4" w:space="0"/>
              <w:bottom w:val="single" w:color="auto" w:sz="4" w:space="0"/>
              <w:right w:val="single" w:color="auto" w:sz="4" w:space="0"/>
            </w:tcBorders>
            <w:noWrap w:val="0"/>
            <w:vAlign w:val="center"/>
          </w:tcPr>
          <w:p w14:paraId="1511C37B">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jc w:val="center"/>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b/>
                <w:bCs/>
                <w:sz w:val="24"/>
                <w:szCs w:val="24"/>
                <w:highlight w:val="none"/>
              </w:rPr>
              <w:t>废弃物名称</w:t>
            </w:r>
          </w:p>
        </w:tc>
        <w:tc>
          <w:tcPr>
            <w:tcW w:w="1928" w:type="dxa"/>
            <w:tcBorders>
              <w:top w:val="single" w:color="auto" w:sz="8" w:space="0"/>
              <w:left w:val="single" w:color="auto" w:sz="4" w:space="0"/>
              <w:bottom w:val="single" w:color="auto" w:sz="4" w:space="0"/>
              <w:right w:val="single" w:color="auto" w:sz="8" w:space="0"/>
            </w:tcBorders>
            <w:noWrap w:val="0"/>
            <w:vAlign w:val="center"/>
          </w:tcPr>
          <w:p w14:paraId="13586B8D">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jc w:val="center"/>
              <w:textAlignment w:val="baseline"/>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b/>
                <w:bCs/>
                <w:sz w:val="24"/>
                <w:szCs w:val="24"/>
                <w:highlight w:val="none"/>
                <w:lang w:val="en-US" w:eastAsia="zh-CN"/>
              </w:rPr>
              <w:t>处置</w:t>
            </w:r>
            <w:r>
              <w:rPr>
                <w:rFonts w:hint="eastAsia" w:ascii="微软雅黑" w:hAnsi="微软雅黑" w:eastAsia="微软雅黑" w:cs="微软雅黑"/>
                <w:b/>
                <w:bCs/>
                <w:sz w:val="24"/>
                <w:szCs w:val="24"/>
                <w:highlight w:val="none"/>
                <w:lang w:eastAsia="zh-CN"/>
              </w:rPr>
              <w:t>量（</w:t>
            </w:r>
            <w:r>
              <w:rPr>
                <w:rFonts w:hint="eastAsia" w:ascii="微软雅黑" w:hAnsi="微软雅黑" w:eastAsia="微软雅黑" w:cs="微软雅黑"/>
                <w:b/>
                <w:bCs/>
                <w:sz w:val="24"/>
                <w:szCs w:val="24"/>
                <w:highlight w:val="none"/>
                <w:lang w:val="en-US" w:eastAsia="zh-CN"/>
              </w:rPr>
              <w:t>t/a</w:t>
            </w:r>
            <w:r>
              <w:rPr>
                <w:rFonts w:hint="eastAsia" w:ascii="微软雅黑" w:hAnsi="微软雅黑" w:eastAsia="微软雅黑" w:cs="微软雅黑"/>
                <w:b/>
                <w:bCs/>
                <w:sz w:val="24"/>
                <w:szCs w:val="24"/>
                <w:highlight w:val="none"/>
                <w:lang w:eastAsia="zh-CN"/>
              </w:rPr>
              <w:t>）</w:t>
            </w:r>
          </w:p>
        </w:tc>
        <w:tc>
          <w:tcPr>
            <w:tcW w:w="3043" w:type="dxa"/>
            <w:tcBorders>
              <w:top w:val="single" w:color="auto" w:sz="8" w:space="0"/>
              <w:left w:val="single" w:color="auto" w:sz="4" w:space="0"/>
              <w:bottom w:val="single" w:color="auto" w:sz="4" w:space="0"/>
              <w:right w:val="single" w:color="auto" w:sz="8" w:space="0"/>
            </w:tcBorders>
            <w:noWrap w:val="0"/>
            <w:vAlign w:val="center"/>
          </w:tcPr>
          <w:p w14:paraId="3913C30E">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ind w:right="351" w:rightChars="167"/>
              <w:jc w:val="center"/>
              <w:textAlignment w:val="baseline"/>
              <w:rPr>
                <w:rFonts w:hint="eastAsia"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b/>
                <w:bCs/>
                <w:sz w:val="24"/>
                <w:szCs w:val="24"/>
                <w:highlight w:val="none"/>
              </w:rPr>
              <w:t>处置办法</w:t>
            </w:r>
          </w:p>
        </w:tc>
      </w:tr>
      <w:tr w14:paraId="1F416B75">
        <w:tblPrEx>
          <w:tblCellMar>
            <w:top w:w="0" w:type="dxa"/>
            <w:left w:w="108" w:type="dxa"/>
            <w:bottom w:w="0" w:type="dxa"/>
            <w:right w:w="108" w:type="dxa"/>
          </w:tblCellMar>
        </w:tblPrEx>
        <w:trPr>
          <w:cantSplit/>
          <w:trHeight w:val="1114" w:hRule="atLeast"/>
          <w:jc w:val="center"/>
        </w:trPr>
        <w:tc>
          <w:tcPr>
            <w:tcW w:w="1446" w:type="dxa"/>
            <w:tcBorders>
              <w:top w:val="single" w:color="auto" w:sz="4" w:space="0"/>
              <w:left w:val="single" w:color="auto" w:sz="4" w:space="0"/>
              <w:bottom w:val="single" w:color="auto" w:sz="4" w:space="0"/>
              <w:right w:val="single" w:color="auto" w:sz="4" w:space="0"/>
            </w:tcBorders>
            <w:noWrap w:val="0"/>
            <w:vAlign w:val="center"/>
          </w:tcPr>
          <w:p w14:paraId="7D88E8BE">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jc w:val="center"/>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生活垃圾类</w:t>
            </w:r>
          </w:p>
        </w:tc>
        <w:tc>
          <w:tcPr>
            <w:tcW w:w="2653" w:type="dxa"/>
            <w:tcBorders>
              <w:top w:val="single" w:color="auto" w:sz="4" w:space="0"/>
              <w:left w:val="single" w:color="auto" w:sz="4" w:space="0"/>
              <w:bottom w:val="single" w:color="auto" w:sz="4" w:space="0"/>
              <w:right w:val="single" w:color="auto" w:sz="4" w:space="0"/>
            </w:tcBorders>
            <w:noWrap w:val="0"/>
            <w:vAlign w:val="center"/>
          </w:tcPr>
          <w:p w14:paraId="43594E24">
            <w:pPr>
              <w:pStyle w:val="3"/>
              <w:keepNext w:val="0"/>
              <w:keepLines w:val="0"/>
              <w:pageBreakBefore w:val="0"/>
              <w:widowControl/>
              <w:kinsoku w:val="0"/>
              <w:wordWrap/>
              <w:overflowPunct/>
              <w:topLinePunct w:val="0"/>
              <w:autoSpaceDE w:val="0"/>
              <w:autoSpaceDN w:val="0"/>
              <w:bidi w:val="0"/>
              <w:adjustRightInd w:val="0"/>
              <w:snapToGrid w:val="0"/>
              <w:spacing w:beforeLines="0" w:after="0" w:afterLines="0" w:line="240" w:lineRule="auto"/>
              <w:jc w:val="center"/>
              <w:textAlignment w:val="baseline"/>
              <w:rPr>
                <w:rFonts w:hint="eastAsia" w:ascii="微软雅黑" w:hAnsi="微软雅黑" w:eastAsia="微软雅黑" w:cs="微软雅黑"/>
                <w:kern w:val="0"/>
                <w:sz w:val="24"/>
                <w:szCs w:val="24"/>
                <w:highlight w:val="none"/>
              </w:rPr>
            </w:pPr>
            <w:r>
              <w:rPr>
                <w:rFonts w:hint="eastAsia" w:ascii="微软雅黑" w:hAnsi="微软雅黑" w:eastAsia="微软雅黑" w:cs="微软雅黑"/>
                <w:sz w:val="24"/>
                <w:szCs w:val="24"/>
                <w:highlight w:val="none"/>
              </w:rPr>
              <w:t>扫地垃圾、果壳纸屑纸袋、无水茶叶、食物残渣</w:t>
            </w:r>
            <w:r>
              <w:rPr>
                <w:rFonts w:hint="eastAsia" w:ascii="微软雅黑" w:hAnsi="微软雅黑" w:eastAsia="微软雅黑" w:cs="微软雅黑"/>
                <w:sz w:val="24"/>
                <w:szCs w:val="24"/>
                <w:highlight w:val="none"/>
                <w:lang w:eastAsia="zh-CN"/>
              </w:rPr>
              <w:t>等</w:t>
            </w:r>
          </w:p>
        </w:tc>
        <w:tc>
          <w:tcPr>
            <w:tcW w:w="1928" w:type="dxa"/>
            <w:tcBorders>
              <w:top w:val="single" w:color="auto" w:sz="4" w:space="0"/>
              <w:left w:val="single" w:color="auto" w:sz="4" w:space="0"/>
              <w:bottom w:val="single" w:color="auto" w:sz="4" w:space="0"/>
              <w:right w:val="single" w:color="auto" w:sz="8" w:space="0"/>
            </w:tcBorders>
            <w:noWrap w:val="0"/>
            <w:vAlign w:val="center"/>
          </w:tcPr>
          <w:p w14:paraId="6A69A0B6">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jc w:val="center"/>
              <w:textAlignment w:val="baseline"/>
              <w:rPr>
                <w:rFonts w:hint="eastAsia" w:ascii="微软雅黑" w:hAnsi="微软雅黑" w:eastAsia="微软雅黑" w:cs="微软雅黑"/>
                <w:color w:val="FF0000"/>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48吨</w:t>
            </w:r>
          </w:p>
        </w:tc>
        <w:tc>
          <w:tcPr>
            <w:tcW w:w="3043" w:type="dxa"/>
            <w:tcBorders>
              <w:top w:val="single" w:color="auto" w:sz="4" w:space="0"/>
              <w:left w:val="single" w:color="auto" w:sz="4" w:space="0"/>
              <w:bottom w:val="single" w:color="auto" w:sz="4" w:space="0"/>
              <w:right w:val="single" w:color="auto" w:sz="8" w:space="0"/>
            </w:tcBorders>
            <w:noWrap w:val="0"/>
            <w:vAlign w:val="center"/>
          </w:tcPr>
          <w:p w14:paraId="3F44E42D">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jc w:val="center"/>
              <w:textAlignment w:val="baseline"/>
              <w:rPr>
                <w:rFonts w:hint="eastAsia"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sz w:val="24"/>
                <w:szCs w:val="24"/>
                <w:highlight w:val="none"/>
                <w:lang w:eastAsia="zh-CN"/>
              </w:rPr>
              <w:t>设置垃圾池，由</w:t>
            </w:r>
            <w:r>
              <w:rPr>
                <w:rFonts w:hint="eastAsia" w:ascii="微软雅黑" w:hAnsi="微软雅黑" w:eastAsia="微软雅黑" w:cs="微软雅黑"/>
                <w:sz w:val="24"/>
                <w:szCs w:val="24"/>
                <w:highlight w:val="none"/>
                <w:lang w:val="en-US" w:eastAsia="zh-CN"/>
              </w:rPr>
              <w:t>行政</w:t>
            </w:r>
            <w:r>
              <w:rPr>
                <w:rFonts w:hint="eastAsia" w:ascii="微软雅黑" w:hAnsi="微软雅黑" w:eastAsia="微软雅黑" w:cs="微软雅黑"/>
                <w:sz w:val="24"/>
                <w:szCs w:val="24"/>
                <w:highlight w:val="none"/>
                <w:lang w:eastAsia="zh-CN"/>
              </w:rPr>
              <w:t>部门统一处理</w:t>
            </w:r>
          </w:p>
        </w:tc>
      </w:tr>
      <w:tr w14:paraId="253CF39F">
        <w:tblPrEx>
          <w:tblCellMar>
            <w:top w:w="0" w:type="dxa"/>
            <w:left w:w="108" w:type="dxa"/>
            <w:bottom w:w="0" w:type="dxa"/>
            <w:right w:w="108" w:type="dxa"/>
          </w:tblCellMar>
        </w:tblPrEx>
        <w:trPr>
          <w:cantSplit/>
          <w:trHeight w:val="675" w:hRule="atLeast"/>
          <w:jc w:val="center"/>
        </w:trPr>
        <w:tc>
          <w:tcPr>
            <w:tcW w:w="1446" w:type="dxa"/>
            <w:tcBorders>
              <w:left w:val="single" w:color="auto" w:sz="4" w:space="0"/>
              <w:right w:val="single" w:color="auto" w:sz="4" w:space="0"/>
            </w:tcBorders>
            <w:noWrap w:val="0"/>
            <w:vAlign w:val="center"/>
          </w:tcPr>
          <w:p w14:paraId="04FE6461">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jc w:val="center"/>
              <w:textAlignment w:val="baseline"/>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再生利用类</w:t>
            </w:r>
          </w:p>
        </w:tc>
        <w:tc>
          <w:tcPr>
            <w:tcW w:w="2653" w:type="dxa"/>
            <w:tcBorders>
              <w:top w:val="single" w:color="auto" w:sz="4" w:space="0"/>
              <w:left w:val="single" w:color="auto" w:sz="4" w:space="0"/>
              <w:bottom w:val="single" w:color="auto" w:sz="4" w:space="0"/>
              <w:right w:val="single" w:color="auto" w:sz="4" w:space="0"/>
            </w:tcBorders>
            <w:noWrap w:val="0"/>
            <w:vAlign w:val="center"/>
          </w:tcPr>
          <w:p w14:paraId="536EEBAB">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jc w:val="center"/>
              <w:textAlignment w:val="baseline"/>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废钢带、废纸套筒、废铁</w:t>
            </w:r>
          </w:p>
        </w:tc>
        <w:tc>
          <w:tcPr>
            <w:tcW w:w="1928" w:type="dxa"/>
            <w:tcBorders>
              <w:top w:val="single" w:color="auto" w:sz="4" w:space="0"/>
              <w:left w:val="single" w:color="auto" w:sz="4" w:space="0"/>
              <w:bottom w:val="single" w:color="auto" w:sz="4" w:space="0"/>
              <w:right w:val="single" w:color="auto" w:sz="8" w:space="0"/>
            </w:tcBorders>
            <w:noWrap w:val="0"/>
            <w:vAlign w:val="center"/>
          </w:tcPr>
          <w:p w14:paraId="7B1A81EE">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jc w:val="center"/>
              <w:textAlignment w:val="baseline"/>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130.5吨</w:t>
            </w:r>
          </w:p>
        </w:tc>
        <w:tc>
          <w:tcPr>
            <w:tcW w:w="3043" w:type="dxa"/>
            <w:tcBorders>
              <w:top w:val="single" w:color="auto" w:sz="4" w:space="0"/>
              <w:left w:val="single" w:color="auto" w:sz="4" w:space="0"/>
              <w:bottom w:val="single" w:color="auto" w:sz="4" w:space="0"/>
              <w:right w:val="single" w:color="auto" w:sz="4" w:space="0"/>
            </w:tcBorders>
            <w:noWrap w:val="0"/>
            <w:vAlign w:val="center"/>
          </w:tcPr>
          <w:p w14:paraId="23089156">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jc w:val="center"/>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lang w:eastAsia="zh-CN"/>
              </w:rPr>
              <w:t>交由废品收购站回收处理</w:t>
            </w:r>
          </w:p>
        </w:tc>
      </w:tr>
      <w:tr w14:paraId="01C2ECD7">
        <w:tblPrEx>
          <w:tblCellMar>
            <w:top w:w="0" w:type="dxa"/>
            <w:left w:w="108" w:type="dxa"/>
            <w:bottom w:w="0" w:type="dxa"/>
            <w:right w:w="108" w:type="dxa"/>
          </w:tblCellMar>
        </w:tblPrEx>
        <w:trPr>
          <w:cantSplit/>
          <w:trHeight w:val="741" w:hRule="atLeast"/>
          <w:jc w:val="center"/>
        </w:trPr>
        <w:tc>
          <w:tcPr>
            <w:tcW w:w="1446" w:type="dxa"/>
            <w:vMerge w:val="restart"/>
            <w:tcBorders>
              <w:top w:val="single" w:color="auto" w:sz="4" w:space="0"/>
              <w:left w:val="single" w:color="auto" w:sz="4" w:space="0"/>
              <w:right w:val="single" w:color="auto" w:sz="4" w:space="0"/>
            </w:tcBorders>
            <w:noWrap w:val="0"/>
            <w:vAlign w:val="center"/>
          </w:tcPr>
          <w:p w14:paraId="72CDD8A7">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jc w:val="center"/>
              <w:textAlignment w:val="baseline"/>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危险废物</w:t>
            </w:r>
          </w:p>
        </w:tc>
        <w:tc>
          <w:tcPr>
            <w:tcW w:w="2653" w:type="dxa"/>
            <w:tcBorders>
              <w:top w:val="single" w:color="auto" w:sz="4" w:space="0"/>
              <w:left w:val="single" w:color="auto" w:sz="4" w:space="0"/>
              <w:bottom w:val="single" w:color="auto" w:sz="4" w:space="0"/>
              <w:right w:val="single" w:color="auto" w:sz="4" w:space="0"/>
            </w:tcBorders>
            <w:noWrap w:val="0"/>
            <w:vAlign w:val="center"/>
          </w:tcPr>
          <w:p w14:paraId="503BC94E">
            <w:pPr>
              <w:pStyle w:val="3"/>
              <w:keepNext w:val="0"/>
              <w:keepLines w:val="0"/>
              <w:pageBreakBefore w:val="0"/>
              <w:widowControl/>
              <w:kinsoku w:val="0"/>
              <w:wordWrap/>
              <w:overflowPunct/>
              <w:topLinePunct w:val="0"/>
              <w:autoSpaceDE w:val="0"/>
              <w:autoSpaceDN w:val="0"/>
              <w:bidi w:val="0"/>
              <w:adjustRightInd w:val="0"/>
              <w:snapToGrid w:val="0"/>
              <w:spacing w:beforeLines="0" w:after="0" w:afterLines="0" w:line="240" w:lineRule="auto"/>
              <w:jc w:val="center"/>
              <w:textAlignment w:val="baseline"/>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铝灰渣</w:t>
            </w:r>
          </w:p>
        </w:tc>
        <w:tc>
          <w:tcPr>
            <w:tcW w:w="1928" w:type="dxa"/>
            <w:tcBorders>
              <w:top w:val="single" w:color="auto" w:sz="4" w:space="0"/>
              <w:left w:val="single" w:color="auto" w:sz="4" w:space="0"/>
              <w:bottom w:val="single" w:color="auto" w:sz="4" w:space="0"/>
              <w:right w:val="single" w:color="auto" w:sz="8" w:space="0"/>
            </w:tcBorders>
            <w:noWrap w:val="0"/>
            <w:vAlign w:val="center"/>
          </w:tcPr>
          <w:p w14:paraId="1CE6DF30">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jc w:val="center"/>
              <w:textAlignment w:val="baseline"/>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979.055吨</w:t>
            </w:r>
          </w:p>
        </w:tc>
        <w:tc>
          <w:tcPr>
            <w:tcW w:w="3043" w:type="dxa"/>
            <w:tcBorders>
              <w:top w:val="single" w:color="auto" w:sz="4" w:space="0"/>
              <w:left w:val="single" w:color="auto" w:sz="4" w:space="0"/>
              <w:bottom w:val="single" w:color="auto" w:sz="4" w:space="0"/>
              <w:right w:val="single" w:color="auto" w:sz="4" w:space="0"/>
            </w:tcBorders>
            <w:noWrap w:val="0"/>
            <w:vAlign w:val="center"/>
          </w:tcPr>
          <w:p w14:paraId="23F7BBA8">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jc w:val="center"/>
              <w:textAlignment w:val="baseline"/>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eastAsia="zh-CN"/>
              </w:rPr>
              <w:t>产生的危废暂存于危废</w:t>
            </w:r>
            <w:r>
              <w:rPr>
                <w:rFonts w:hint="eastAsia" w:ascii="微软雅黑" w:hAnsi="微软雅黑" w:eastAsia="微软雅黑" w:cs="微软雅黑"/>
                <w:sz w:val="24"/>
                <w:szCs w:val="24"/>
                <w:highlight w:val="none"/>
                <w:lang w:val="en-US" w:eastAsia="zh-CN"/>
              </w:rPr>
              <w:t>1</w:t>
            </w:r>
            <w:r>
              <w:rPr>
                <w:rFonts w:hint="eastAsia" w:ascii="微软雅黑" w:hAnsi="微软雅黑" w:eastAsia="微软雅黑" w:cs="微软雅黑"/>
                <w:sz w:val="24"/>
                <w:szCs w:val="24"/>
                <w:highlight w:val="none"/>
                <w:lang w:eastAsia="zh-CN"/>
              </w:rPr>
              <w:t>#库，交</w:t>
            </w:r>
            <w:r>
              <w:rPr>
                <w:rFonts w:hint="eastAsia" w:ascii="微软雅黑" w:hAnsi="微软雅黑" w:eastAsia="微软雅黑" w:cs="微软雅黑"/>
                <w:sz w:val="24"/>
                <w:szCs w:val="24"/>
                <w:highlight w:val="none"/>
                <w:lang w:val="en-US" w:eastAsia="zh-CN"/>
              </w:rPr>
              <w:t>有资质公司</w:t>
            </w:r>
            <w:r>
              <w:rPr>
                <w:rFonts w:hint="eastAsia" w:ascii="微软雅黑" w:hAnsi="微软雅黑" w:eastAsia="微软雅黑" w:cs="微软雅黑"/>
                <w:sz w:val="24"/>
                <w:szCs w:val="24"/>
                <w:highlight w:val="none"/>
                <w:lang w:eastAsia="zh-CN"/>
              </w:rPr>
              <w:t>定期处理</w:t>
            </w:r>
          </w:p>
        </w:tc>
      </w:tr>
      <w:tr w14:paraId="4BC506D5">
        <w:tblPrEx>
          <w:tblCellMar>
            <w:top w:w="0" w:type="dxa"/>
            <w:left w:w="108" w:type="dxa"/>
            <w:bottom w:w="0" w:type="dxa"/>
            <w:right w:w="108" w:type="dxa"/>
          </w:tblCellMar>
        </w:tblPrEx>
        <w:trPr>
          <w:cantSplit/>
          <w:trHeight w:val="618" w:hRule="atLeast"/>
          <w:jc w:val="center"/>
        </w:trPr>
        <w:tc>
          <w:tcPr>
            <w:tcW w:w="1446" w:type="dxa"/>
            <w:vMerge w:val="continue"/>
            <w:tcBorders>
              <w:left w:val="single" w:color="auto" w:sz="4" w:space="0"/>
              <w:right w:val="single" w:color="auto" w:sz="4" w:space="0"/>
            </w:tcBorders>
            <w:noWrap w:val="0"/>
            <w:vAlign w:val="center"/>
          </w:tcPr>
          <w:p w14:paraId="2830C96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微软雅黑" w:hAnsi="微软雅黑" w:eastAsia="微软雅黑" w:cs="微软雅黑"/>
                <w:sz w:val="21"/>
                <w:szCs w:val="21"/>
                <w:highlight w:val="none"/>
                <w:lang w:eastAsia="zh-CN"/>
              </w:rPr>
            </w:pPr>
          </w:p>
        </w:tc>
        <w:tc>
          <w:tcPr>
            <w:tcW w:w="26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E2BE6E">
            <w:pPr>
              <w:pStyle w:val="3"/>
              <w:keepNext w:val="0"/>
              <w:keepLines w:val="0"/>
              <w:pageBreakBefore w:val="0"/>
              <w:widowControl/>
              <w:kinsoku w:val="0"/>
              <w:wordWrap/>
              <w:overflowPunct/>
              <w:topLinePunct w:val="0"/>
              <w:autoSpaceDE w:val="0"/>
              <w:autoSpaceDN w:val="0"/>
              <w:bidi w:val="0"/>
              <w:adjustRightInd w:val="0"/>
              <w:snapToGrid w:val="0"/>
              <w:spacing w:beforeLines="0" w:after="0" w:afterLines="0" w:line="240" w:lineRule="auto"/>
              <w:jc w:val="center"/>
              <w:textAlignment w:val="baseline"/>
              <w:rPr>
                <w:rFonts w:hint="eastAsia" w:ascii="微软雅黑" w:hAnsi="微软雅黑" w:eastAsia="微软雅黑" w:cs="微软雅黑"/>
                <w:snapToGrid w:val="0"/>
                <w:color w:val="auto"/>
                <w:kern w:val="0"/>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除尘灰</w:t>
            </w:r>
          </w:p>
        </w:tc>
        <w:tc>
          <w:tcPr>
            <w:tcW w:w="1928" w:type="dxa"/>
            <w:tcBorders>
              <w:top w:val="single" w:color="auto" w:sz="4" w:space="0"/>
              <w:left w:val="single" w:color="auto" w:sz="4" w:space="0"/>
              <w:bottom w:val="single" w:color="auto" w:sz="4" w:space="0"/>
              <w:right w:val="single" w:color="auto" w:sz="8" w:space="0"/>
            </w:tcBorders>
            <w:shd w:val="clear" w:color="auto" w:fill="auto"/>
            <w:noWrap w:val="0"/>
            <w:vAlign w:val="center"/>
          </w:tcPr>
          <w:p w14:paraId="5A22AB73">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jc w:val="center"/>
              <w:textAlignment w:val="baseline"/>
              <w:rPr>
                <w:rFonts w:hint="eastAsia" w:ascii="微软雅黑" w:hAnsi="微软雅黑" w:eastAsia="微软雅黑" w:cs="微软雅黑"/>
                <w:snapToGrid w:val="0"/>
                <w:color w:val="auto"/>
                <w:kern w:val="0"/>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8.501吨</w:t>
            </w:r>
          </w:p>
        </w:tc>
        <w:tc>
          <w:tcPr>
            <w:tcW w:w="304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BA42AB">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jc w:val="center"/>
              <w:textAlignment w:val="baseline"/>
              <w:rPr>
                <w:rFonts w:hint="eastAsia" w:ascii="微软雅黑" w:hAnsi="微软雅黑" w:eastAsia="微软雅黑" w:cs="微软雅黑"/>
                <w:snapToGrid w:val="0"/>
                <w:color w:val="000000"/>
                <w:kern w:val="0"/>
                <w:sz w:val="24"/>
                <w:szCs w:val="24"/>
                <w:highlight w:val="none"/>
                <w:lang w:val="en-US" w:eastAsia="zh-CN" w:bidi="ar-SA"/>
              </w:rPr>
            </w:pPr>
            <w:r>
              <w:rPr>
                <w:rFonts w:hint="eastAsia" w:ascii="微软雅黑" w:hAnsi="微软雅黑" w:eastAsia="微软雅黑" w:cs="微软雅黑"/>
                <w:sz w:val="24"/>
                <w:szCs w:val="24"/>
                <w:highlight w:val="none"/>
                <w:lang w:eastAsia="zh-CN"/>
              </w:rPr>
              <w:t>产生的危废暂存于危废</w:t>
            </w:r>
            <w:r>
              <w:rPr>
                <w:rFonts w:hint="eastAsia" w:ascii="微软雅黑" w:hAnsi="微软雅黑" w:eastAsia="微软雅黑" w:cs="微软雅黑"/>
                <w:sz w:val="24"/>
                <w:szCs w:val="24"/>
                <w:highlight w:val="none"/>
                <w:lang w:val="en-US" w:eastAsia="zh-CN"/>
              </w:rPr>
              <w:t>1</w:t>
            </w:r>
            <w:r>
              <w:rPr>
                <w:rFonts w:hint="eastAsia" w:ascii="微软雅黑" w:hAnsi="微软雅黑" w:eastAsia="微软雅黑" w:cs="微软雅黑"/>
                <w:sz w:val="24"/>
                <w:szCs w:val="24"/>
                <w:highlight w:val="none"/>
                <w:lang w:eastAsia="zh-CN"/>
              </w:rPr>
              <w:t>#库，交</w:t>
            </w:r>
            <w:r>
              <w:rPr>
                <w:rFonts w:hint="eastAsia" w:ascii="微软雅黑" w:hAnsi="微软雅黑" w:eastAsia="微软雅黑" w:cs="微软雅黑"/>
                <w:sz w:val="24"/>
                <w:szCs w:val="24"/>
                <w:highlight w:val="none"/>
                <w:lang w:val="en-US" w:eastAsia="zh-CN"/>
              </w:rPr>
              <w:t>有资质公司</w:t>
            </w:r>
            <w:r>
              <w:rPr>
                <w:rFonts w:hint="eastAsia" w:ascii="微软雅黑" w:hAnsi="微软雅黑" w:eastAsia="微软雅黑" w:cs="微软雅黑"/>
                <w:sz w:val="24"/>
                <w:szCs w:val="24"/>
                <w:highlight w:val="none"/>
                <w:lang w:eastAsia="zh-CN"/>
              </w:rPr>
              <w:t>定期处理</w:t>
            </w:r>
          </w:p>
        </w:tc>
      </w:tr>
      <w:tr w14:paraId="52601EEB">
        <w:tblPrEx>
          <w:tblCellMar>
            <w:top w:w="0" w:type="dxa"/>
            <w:left w:w="108" w:type="dxa"/>
            <w:bottom w:w="0" w:type="dxa"/>
            <w:right w:w="108" w:type="dxa"/>
          </w:tblCellMar>
        </w:tblPrEx>
        <w:trPr>
          <w:cantSplit/>
          <w:trHeight w:val="1228" w:hRule="atLeast"/>
          <w:jc w:val="center"/>
        </w:trPr>
        <w:tc>
          <w:tcPr>
            <w:tcW w:w="1446" w:type="dxa"/>
            <w:vMerge w:val="continue"/>
            <w:tcBorders>
              <w:left w:val="single" w:color="auto" w:sz="4" w:space="0"/>
              <w:right w:val="single" w:color="auto" w:sz="4" w:space="0"/>
            </w:tcBorders>
            <w:noWrap w:val="0"/>
            <w:vAlign w:val="center"/>
          </w:tcPr>
          <w:p w14:paraId="2519CEB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微软雅黑" w:hAnsi="微软雅黑" w:eastAsia="微软雅黑" w:cs="微软雅黑"/>
                <w:sz w:val="21"/>
                <w:szCs w:val="21"/>
                <w:highlight w:val="none"/>
                <w:lang w:eastAsia="zh-CN"/>
              </w:rPr>
            </w:pPr>
          </w:p>
        </w:tc>
        <w:tc>
          <w:tcPr>
            <w:tcW w:w="2653" w:type="dxa"/>
            <w:tcBorders>
              <w:top w:val="single" w:color="auto" w:sz="4" w:space="0"/>
              <w:left w:val="single" w:color="auto" w:sz="4" w:space="0"/>
              <w:bottom w:val="single" w:color="auto" w:sz="4" w:space="0"/>
              <w:right w:val="single" w:color="auto" w:sz="4" w:space="0"/>
            </w:tcBorders>
            <w:noWrap w:val="0"/>
            <w:vAlign w:val="center"/>
          </w:tcPr>
          <w:p w14:paraId="70168206">
            <w:pPr>
              <w:pStyle w:val="3"/>
              <w:keepNext w:val="0"/>
              <w:keepLines w:val="0"/>
              <w:pageBreakBefore w:val="0"/>
              <w:widowControl/>
              <w:kinsoku w:val="0"/>
              <w:wordWrap/>
              <w:overflowPunct/>
              <w:topLinePunct w:val="0"/>
              <w:autoSpaceDE w:val="0"/>
              <w:autoSpaceDN w:val="0"/>
              <w:bidi w:val="0"/>
              <w:adjustRightInd w:val="0"/>
              <w:snapToGrid w:val="0"/>
              <w:spacing w:beforeLines="0" w:after="0" w:afterLines="0" w:line="240" w:lineRule="auto"/>
              <w:jc w:val="center"/>
              <w:textAlignment w:val="baseline"/>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b w:val="0"/>
                <w:bCs w:val="0"/>
                <w:color w:val="auto"/>
                <w:kern w:val="0"/>
                <w:sz w:val="24"/>
                <w:szCs w:val="24"/>
              </w:rPr>
              <w:t>含油硅藻土</w:t>
            </w:r>
          </w:p>
        </w:tc>
        <w:tc>
          <w:tcPr>
            <w:tcW w:w="1928" w:type="dxa"/>
            <w:tcBorders>
              <w:top w:val="single" w:color="auto" w:sz="4" w:space="0"/>
              <w:left w:val="single" w:color="auto" w:sz="4" w:space="0"/>
              <w:bottom w:val="single" w:color="auto" w:sz="4" w:space="0"/>
              <w:right w:val="single" w:color="auto" w:sz="8" w:space="0"/>
            </w:tcBorders>
            <w:noWrap w:val="0"/>
            <w:vAlign w:val="center"/>
          </w:tcPr>
          <w:p w14:paraId="33E37A3E">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jc w:val="center"/>
              <w:textAlignment w:val="baseline"/>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126.26吨</w:t>
            </w:r>
          </w:p>
        </w:tc>
        <w:tc>
          <w:tcPr>
            <w:tcW w:w="3043" w:type="dxa"/>
            <w:tcBorders>
              <w:top w:val="single" w:color="auto" w:sz="4" w:space="0"/>
              <w:left w:val="single" w:color="auto" w:sz="4" w:space="0"/>
              <w:bottom w:val="single" w:color="auto" w:sz="4" w:space="0"/>
              <w:right w:val="single" w:color="auto" w:sz="4" w:space="0"/>
            </w:tcBorders>
            <w:noWrap w:val="0"/>
            <w:vAlign w:val="center"/>
          </w:tcPr>
          <w:p w14:paraId="11B48F09">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jc w:val="center"/>
              <w:textAlignment w:val="baseline"/>
              <w:rPr>
                <w:rFonts w:hint="eastAsia" w:ascii="微软雅黑" w:hAnsi="微软雅黑" w:eastAsia="微软雅黑" w:cs="微软雅黑"/>
                <w:b/>
                <w:bCs/>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产生的危废暂存于危废</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lang w:eastAsia="zh-CN"/>
              </w:rPr>
              <w:t>#库，交</w:t>
            </w:r>
            <w:r>
              <w:rPr>
                <w:rFonts w:hint="eastAsia" w:ascii="微软雅黑" w:hAnsi="微软雅黑" w:eastAsia="微软雅黑" w:cs="微软雅黑"/>
                <w:color w:val="auto"/>
                <w:sz w:val="24"/>
                <w:szCs w:val="24"/>
                <w:highlight w:val="none"/>
                <w:lang w:val="en-US" w:eastAsia="zh-CN"/>
              </w:rPr>
              <w:t>有资质公司</w:t>
            </w:r>
            <w:r>
              <w:rPr>
                <w:rFonts w:hint="eastAsia" w:ascii="微软雅黑" w:hAnsi="微软雅黑" w:eastAsia="微软雅黑" w:cs="微软雅黑"/>
                <w:color w:val="auto"/>
                <w:sz w:val="24"/>
                <w:szCs w:val="24"/>
                <w:highlight w:val="none"/>
                <w:lang w:eastAsia="zh-CN"/>
              </w:rPr>
              <w:t>定期处理</w:t>
            </w:r>
          </w:p>
        </w:tc>
      </w:tr>
      <w:tr w14:paraId="45B04196">
        <w:tblPrEx>
          <w:tblCellMar>
            <w:top w:w="0" w:type="dxa"/>
            <w:left w:w="108" w:type="dxa"/>
            <w:bottom w:w="0" w:type="dxa"/>
            <w:right w:w="108" w:type="dxa"/>
          </w:tblCellMar>
        </w:tblPrEx>
        <w:trPr>
          <w:cantSplit/>
          <w:trHeight w:val="618" w:hRule="atLeast"/>
          <w:jc w:val="center"/>
        </w:trPr>
        <w:tc>
          <w:tcPr>
            <w:tcW w:w="1446" w:type="dxa"/>
            <w:vMerge w:val="continue"/>
            <w:tcBorders>
              <w:left w:val="single" w:color="auto" w:sz="4" w:space="0"/>
              <w:bottom w:val="single" w:color="auto" w:sz="4" w:space="0"/>
              <w:right w:val="single" w:color="auto" w:sz="4" w:space="0"/>
            </w:tcBorders>
            <w:noWrap w:val="0"/>
            <w:vAlign w:val="center"/>
          </w:tcPr>
          <w:p w14:paraId="5E25088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微软雅黑" w:hAnsi="微软雅黑" w:eastAsia="微软雅黑" w:cs="微软雅黑"/>
                <w:sz w:val="21"/>
                <w:szCs w:val="21"/>
                <w:highlight w:val="none"/>
                <w:lang w:eastAsia="zh-CN"/>
              </w:rPr>
            </w:pPr>
          </w:p>
        </w:tc>
        <w:tc>
          <w:tcPr>
            <w:tcW w:w="2653" w:type="dxa"/>
            <w:tcBorders>
              <w:top w:val="single" w:color="auto" w:sz="4" w:space="0"/>
              <w:left w:val="single" w:color="auto" w:sz="4" w:space="0"/>
              <w:bottom w:val="single" w:color="auto" w:sz="4" w:space="0"/>
              <w:right w:val="single" w:color="auto" w:sz="4" w:space="0"/>
            </w:tcBorders>
            <w:noWrap w:val="0"/>
            <w:vAlign w:val="center"/>
          </w:tcPr>
          <w:p w14:paraId="6D20C8B0">
            <w:pPr>
              <w:pStyle w:val="3"/>
              <w:keepNext w:val="0"/>
              <w:keepLines w:val="0"/>
              <w:pageBreakBefore w:val="0"/>
              <w:widowControl/>
              <w:kinsoku w:val="0"/>
              <w:wordWrap/>
              <w:overflowPunct/>
              <w:topLinePunct w:val="0"/>
              <w:autoSpaceDE w:val="0"/>
              <w:autoSpaceDN w:val="0"/>
              <w:bidi w:val="0"/>
              <w:adjustRightInd w:val="0"/>
              <w:snapToGrid w:val="0"/>
              <w:spacing w:beforeLines="0" w:after="0" w:afterLines="0" w:line="240" w:lineRule="auto"/>
              <w:jc w:val="center"/>
              <w:textAlignment w:val="baseline"/>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b w:val="0"/>
                <w:bCs w:val="0"/>
                <w:color w:val="auto"/>
                <w:kern w:val="0"/>
                <w:sz w:val="24"/>
                <w:szCs w:val="24"/>
                <w:lang w:val="en-US" w:eastAsia="zh-CN"/>
              </w:rPr>
              <w:t>含油过滤布</w:t>
            </w:r>
          </w:p>
        </w:tc>
        <w:tc>
          <w:tcPr>
            <w:tcW w:w="1928" w:type="dxa"/>
            <w:tcBorders>
              <w:top w:val="single" w:color="auto" w:sz="4" w:space="0"/>
              <w:left w:val="single" w:color="auto" w:sz="4" w:space="0"/>
              <w:bottom w:val="single" w:color="auto" w:sz="4" w:space="0"/>
              <w:right w:val="single" w:color="auto" w:sz="8" w:space="0"/>
            </w:tcBorders>
            <w:noWrap w:val="0"/>
            <w:vAlign w:val="center"/>
          </w:tcPr>
          <w:p w14:paraId="5D7A12D3">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jc w:val="center"/>
              <w:textAlignment w:val="baseline"/>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7.56吨</w:t>
            </w:r>
          </w:p>
        </w:tc>
        <w:tc>
          <w:tcPr>
            <w:tcW w:w="3043" w:type="dxa"/>
            <w:tcBorders>
              <w:top w:val="single" w:color="auto" w:sz="4" w:space="0"/>
              <w:left w:val="single" w:color="auto" w:sz="4" w:space="0"/>
              <w:bottom w:val="single" w:color="auto" w:sz="4" w:space="0"/>
              <w:right w:val="single" w:color="auto" w:sz="4" w:space="0"/>
            </w:tcBorders>
            <w:noWrap w:val="0"/>
            <w:vAlign w:val="center"/>
          </w:tcPr>
          <w:p w14:paraId="31208D6B">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jc w:val="center"/>
              <w:textAlignment w:val="baseline"/>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产生的危废暂存于危废</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lang w:eastAsia="zh-CN"/>
              </w:rPr>
              <w:t>#库，交</w:t>
            </w:r>
            <w:r>
              <w:rPr>
                <w:rFonts w:hint="eastAsia" w:ascii="微软雅黑" w:hAnsi="微软雅黑" w:eastAsia="微软雅黑" w:cs="微软雅黑"/>
                <w:color w:val="auto"/>
                <w:sz w:val="24"/>
                <w:szCs w:val="24"/>
                <w:highlight w:val="none"/>
                <w:lang w:val="en-US" w:eastAsia="zh-CN"/>
              </w:rPr>
              <w:t>有资质公司</w:t>
            </w:r>
            <w:r>
              <w:rPr>
                <w:rFonts w:hint="eastAsia" w:ascii="微软雅黑" w:hAnsi="微软雅黑" w:eastAsia="微软雅黑" w:cs="微软雅黑"/>
                <w:color w:val="auto"/>
                <w:sz w:val="24"/>
                <w:szCs w:val="24"/>
                <w:highlight w:val="none"/>
                <w:lang w:eastAsia="zh-CN"/>
              </w:rPr>
              <w:t>定期处理</w:t>
            </w:r>
          </w:p>
        </w:tc>
      </w:tr>
    </w:tbl>
    <w:p w14:paraId="4FA2E658">
      <w:pPr>
        <w:pStyle w:val="3"/>
        <w:spacing w:line="412" w:lineRule="auto"/>
        <w:rPr>
          <w:highlight w:val="none"/>
        </w:rPr>
      </w:pPr>
    </w:p>
    <w:p w14:paraId="3A6D7FD9">
      <w:pPr>
        <w:spacing w:before="103" w:line="215" w:lineRule="auto"/>
        <w:ind w:left="603" w:right="116" w:rightChars="0" w:hanging="13"/>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10"/>
          <w:sz w:val="24"/>
          <w:szCs w:val="24"/>
          <w:highlight w:val="none"/>
        </w:rPr>
        <w:t>经过对泄露和渗漏的风险进行了全面评估，公司的泄露和渗漏风险为“低</w:t>
      </w:r>
      <w:r>
        <w:rPr>
          <w:rFonts w:ascii="微软雅黑" w:hAnsi="微软雅黑" w:eastAsia="微软雅黑" w:cs="微软雅黑"/>
          <w:spacing w:val="-11"/>
          <w:sz w:val="24"/>
          <w:szCs w:val="24"/>
          <w:highlight w:val="none"/>
        </w:rPr>
        <w:t>。</w:t>
      </w:r>
      <w:r>
        <w:rPr>
          <w:rFonts w:hint="eastAsia" w:ascii="微软雅黑" w:hAnsi="微软雅黑" w:eastAsia="微软雅黑" w:cs="微软雅黑"/>
          <w:spacing w:val="-11"/>
          <w:sz w:val="24"/>
          <w:szCs w:val="24"/>
          <w:highlight w:val="none"/>
          <w:lang w:eastAsia="zh-CN"/>
        </w:rPr>
        <w:t>（</w:t>
      </w:r>
      <w:r>
        <w:rPr>
          <w:rFonts w:ascii="微软雅黑" w:hAnsi="微软雅黑" w:eastAsia="微软雅黑" w:cs="微软雅黑"/>
          <w:spacing w:val="-1"/>
          <w:sz w:val="24"/>
          <w:szCs w:val="24"/>
          <w:highlight w:val="none"/>
        </w:rPr>
        <w:t>详细见《渗漏、泄漏危险源风险评估报告》</w:t>
      </w:r>
      <w:r>
        <w:rPr>
          <w:rFonts w:hint="eastAsia" w:ascii="微软雅黑" w:hAnsi="微软雅黑" w:eastAsia="微软雅黑" w:cs="微软雅黑"/>
          <w:spacing w:val="-1"/>
          <w:sz w:val="24"/>
          <w:szCs w:val="24"/>
          <w:highlight w:val="none"/>
          <w:lang w:eastAsia="zh-CN"/>
        </w:rPr>
        <w:t>）</w:t>
      </w:r>
    </w:p>
    <w:p w14:paraId="5EF9DDD0">
      <w:pPr>
        <w:spacing w:before="84" w:line="194" w:lineRule="auto"/>
        <w:ind w:left="615"/>
        <w:rPr>
          <w:rFonts w:ascii="微软雅黑" w:hAnsi="微软雅黑" w:eastAsia="微软雅黑" w:cs="微软雅黑"/>
          <w:sz w:val="24"/>
          <w:szCs w:val="24"/>
          <w:highlight w:val="none"/>
        </w:rPr>
      </w:pPr>
      <w:r>
        <w:rPr>
          <w:rFonts w:ascii="微软雅黑" w:hAnsi="微软雅黑" w:eastAsia="微软雅黑" w:cs="微软雅黑"/>
          <w:spacing w:val="-4"/>
          <w:sz w:val="24"/>
          <w:szCs w:val="24"/>
          <w:highlight w:val="none"/>
        </w:rPr>
        <w:t>自公司成立以来，没有发生过泄露和渗漏的事故。</w:t>
      </w:r>
    </w:p>
    <w:p w14:paraId="0EAB993A">
      <w:pPr>
        <w:pStyle w:val="3"/>
        <w:spacing w:line="386" w:lineRule="auto"/>
        <w:rPr>
          <w:highlight w:val="none"/>
        </w:rPr>
      </w:pPr>
    </w:p>
    <w:p w14:paraId="6231AA39">
      <w:pPr>
        <w:pStyle w:val="3"/>
        <w:spacing w:line="386" w:lineRule="auto"/>
        <w:rPr>
          <w:highlight w:val="none"/>
        </w:rPr>
      </w:pPr>
    </w:p>
    <w:p w14:paraId="3E98B321">
      <w:pPr>
        <w:pStyle w:val="3"/>
        <w:spacing w:line="386" w:lineRule="auto"/>
        <w:rPr>
          <w:highlight w:val="none"/>
        </w:rPr>
      </w:pPr>
    </w:p>
    <w:p w14:paraId="2F64CD21">
      <w:pPr>
        <w:spacing w:before="103" w:line="194" w:lineRule="auto"/>
        <w:ind w:left="118"/>
        <w:outlineLvl w:val="0"/>
        <w:rPr>
          <w:rFonts w:ascii="微软雅黑" w:hAnsi="微软雅黑" w:eastAsia="微软雅黑" w:cs="微软雅黑"/>
          <w:sz w:val="24"/>
          <w:szCs w:val="24"/>
          <w:highlight w:val="none"/>
        </w:rPr>
      </w:pPr>
      <w:bookmarkStart w:id="26" w:name="bookmark27"/>
      <w:bookmarkEnd w:id="26"/>
      <w:r>
        <w:rPr>
          <w:rFonts w:ascii="微软雅黑" w:hAnsi="微软雅黑" w:eastAsia="微软雅黑" w:cs="微软雅黑"/>
          <w:b/>
          <w:bCs/>
          <w:spacing w:val="-2"/>
          <w:sz w:val="24"/>
          <w:szCs w:val="24"/>
          <w:highlight w:val="none"/>
        </w:rPr>
        <w:t>6、水资源的循环利用</w:t>
      </w:r>
    </w:p>
    <w:p w14:paraId="1B483563">
      <w:pPr>
        <w:spacing w:before="81" w:line="216" w:lineRule="auto"/>
        <w:ind w:left="109" w:right="109" w:firstLine="479"/>
        <w:jc w:val="both"/>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公司通过深入推进资源的合理利用，通过冷却水的循环利用，提高水资源的利用效率，让</w:t>
      </w:r>
      <w:r>
        <w:rPr>
          <w:rFonts w:ascii="微软雅黑" w:hAnsi="微软雅黑" w:eastAsia="微软雅黑" w:cs="微软雅黑"/>
          <w:spacing w:val="-5"/>
          <w:sz w:val="24"/>
          <w:szCs w:val="24"/>
          <w:highlight w:val="none"/>
        </w:rPr>
        <w:t>水真正的用到实处。</w:t>
      </w:r>
    </w:p>
    <w:p w14:paraId="2E7903A0">
      <w:pPr>
        <w:spacing w:before="80" w:line="194" w:lineRule="auto"/>
        <w:ind w:left="590"/>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经过对水资源的风险进行了全面评估</w:t>
      </w:r>
    </w:p>
    <w:p w14:paraId="176E8F43">
      <w:pPr>
        <w:spacing w:before="81" w:line="216" w:lineRule="auto"/>
        <w:ind w:left="108" w:right="34" w:firstLine="479"/>
        <w:rPr>
          <w:rFonts w:hint="eastAsia" w:ascii="微软雅黑" w:hAnsi="微软雅黑" w:eastAsia="微软雅黑" w:cs="微软雅黑"/>
          <w:spacing w:val="-1"/>
          <w:sz w:val="24"/>
          <w:szCs w:val="24"/>
          <w:highlight w:val="none"/>
          <w:lang w:eastAsia="zh-CN"/>
        </w:rPr>
      </w:pPr>
      <w:r>
        <w:rPr>
          <w:rFonts w:ascii="微软雅黑" w:hAnsi="微软雅黑" w:eastAsia="微软雅黑" w:cs="微软雅黑"/>
          <w:spacing w:val="-9"/>
          <w:sz w:val="24"/>
          <w:szCs w:val="24"/>
          <w:highlight w:val="none"/>
        </w:rPr>
        <w:t>公司生产工艺不产生“生产废水”；生活污水经污水</w:t>
      </w:r>
      <w:r>
        <w:rPr>
          <w:rFonts w:ascii="微软雅黑" w:hAnsi="微软雅黑" w:eastAsia="微软雅黑" w:cs="微软雅黑"/>
          <w:spacing w:val="-10"/>
          <w:sz w:val="24"/>
          <w:szCs w:val="24"/>
          <w:highlight w:val="none"/>
        </w:rPr>
        <w:t>管网排入</w:t>
      </w:r>
      <w:r>
        <w:rPr>
          <w:rFonts w:hint="eastAsia" w:ascii="微软雅黑" w:hAnsi="微软雅黑" w:eastAsia="微软雅黑" w:cs="微软雅黑"/>
          <w:spacing w:val="-10"/>
          <w:sz w:val="24"/>
          <w:szCs w:val="24"/>
          <w:highlight w:val="none"/>
          <w:lang w:val="en-US" w:eastAsia="zh-CN"/>
        </w:rPr>
        <w:t>濉溪经济</w:t>
      </w:r>
      <w:r>
        <w:rPr>
          <w:rFonts w:ascii="微软雅黑" w:hAnsi="微软雅黑" w:eastAsia="微软雅黑" w:cs="微软雅黑"/>
          <w:spacing w:val="-10"/>
          <w:sz w:val="24"/>
          <w:szCs w:val="24"/>
          <w:highlight w:val="none"/>
        </w:rPr>
        <w:t>开发区污水处理厂后处理，</w:t>
      </w:r>
      <w:r>
        <w:rPr>
          <w:rFonts w:ascii="微软雅黑" w:hAnsi="微软雅黑" w:eastAsia="微软雅黑" w:cs="微软雅黑"/>
          <w:sz w:val="24"/>
          <w:szCs w:val="24"/>
          <w:highlight w:val="none"/>
        </w:rPr>
        <w:t>达标排放；每年委托有资质单位对公司的废水进行检测，结果都是达</w:t>
      </w:r>
      <w:r>
        <w:rPr>
          <w:rFonts w:ascii="微软雅黑" w:hAnsi="微软雅黑" w:eastAsia="微软雅黑" w:cs="微软雅黑"/>
          <w:spacing w:val="-1"/>
          <w:sz w:val="24"/>
          <w:szCs w:val="24"/>
          <w:highlight w:val="none"/>
        </w:rPr>
        <w:t>标排放</w:t>
      </w:r>
      <w:r>
        <w:rPr>
          <w:rFonts w:hint="eastAsia" w:ascii="微软雅黑" w:hAnsi="微软雅黑" w:eastAsia="微软雅黑" w:cs="微软雅黑"/>
          <w:spacing w:val="-1"/>
          <w:sz w:val="24"/>
          <w:szCs w:val="24"/>
          <w:highlight w:val="none"/>
          <w:lang w:eastAsia="zh-CN"/>
        </w:rPr>
        <w:t>。</w:t>
      </w:r>
    </w:p>
    <w:p w14:paraId="6E931BE9">
      <w:pPr>
        <w:spacing w:before="81" w:line="216" w:lineRule="auto"/>
        <w:ind w:left="108" w:right="34" w:firstLine="479"/>
        <w:rPr>
          <w:rFonts w:ascii="微软雅黑" w:hAnsi="微软雅黑" w:eastAsia="微软雅黑" w:cs="微软雅黑"/>
          <w:sz w:val="24"/>
          <w:szCs w:val="24"/>
          <w:highlight w:val="none"/>
        </w:rPr>
      </w:pPr>
      <w:r>
        <w:rPr>
          <w:rFonts w:ascii="微软雅黑" w:hAnsi="微软雅黑" w:eastAsia="微软雅黑" w:cs="微软雅黑"/>
          <w:spacing w:val="-8"/>
          <w:sz w:val="24"/>
          <w:szCs w:val="24"/>
          <w:highlight w:val="none"/>
        </w:rPr>
        <w:t>因此，公司的水资源风险为“低”。</w:t>
      </w:r>
      <w:r>
        <w:rPr>
          <w:rFonts w:ascii="微软雅黑" w:hAnsi="微软雅黑" w:eastAsia="微软雅黑" w:cs="微软雅黑"/>
          <w:spacing w:val="-2"/>
          <w:sz w:val="24"/>
          <w:szCs w:val="24"/>
          <w:highlight w:val="none"/>
        </w:rPr>
        <w:t>(详细见《水资源风险评估报告》)</w:t>
      </w:r>
    </w:p>
    <w:p w14:paraId="6092D9F4">
      <w:pPr>
        <w:spacing w:before="85" w:line="241" w:lineRule="auto"/>
        <w:ind w:left="508"/>
        <w:rPr>
          <w:rFonts w:ascii="微软雅黑" w:hAnsi="微软雅黑" w:eastAsia="微软雅黑" w:cs="微软雅黑"/>
          <w:sz w:val="24"/>
          <w:szCs w:val="24"/>
          <w:highlight w:val="none"/>
        </w:rPr>
      </w:pPr>
      <w:r>
        <w:rPr>
          <w:rFonts w:ascii="微软雅黑" w:hAnsi="微软雅黑" w:eastAsia="微软雅黑" w:cs="微软雅黑"/>
          <w:spacing w:val="-4"/>
          <w:sz w:val="24"/>
          <w:szCs w:val="24"/>
          <w:highlight w:val="none"/>
        </w:rPr>
        <w:t>自公司成立以来，没有发生过污染水资源的事故。</w:t>
      </w:r>
    </w:p>
    <w:p w14:paraId="433E8BD5">
      <w:pPr>
        <w:spacing w:before="1" w:line="177" w:lineRule="auto"/>
        <w:ind w:left="482"/>
        <w:rPr>
          <w:rFonts w:ascii="微软雅黑" w:hAnsi="微软雅黑" w:eastAsia="微软雅黑" w:cs="微软雅黑"/>
          <w:spacing w:val="-1"/>
          <w:sz w:val="24"/>
          <w:szCs w:val="24"/>
          <w:highlight w:val="none"/>
        </w:rPr>
      </w:pPr>
      <w:r>
        <w:rPr>
          <w:rFonts w:ascii="微软雅黑" w:hAnsi="微软雅黑" w:eastAsia="微软雅黑" w:cs="微软雅黑"/>
          <w:spacing w:val="-1"/>
          <w:sz w:val="24"/>
          <w:szCs w:val="24"/>
          <w:highlight w:val="none"/>
        </w:rPr>
        <w:t>公司最近</w:t>
      </w:r>
      <w:r>
        <w:rPr>
          <w:rFonts w:hint="eastAsia" w:ascii="微软雅黑" w:hAnsi="微软雅黑" w:eastAsia="微软雅黑" w:cs="微软雅黑"/>
          <w:spacing w:val="-1"/>
          <w:sz w:val="24"/>
          <w:szCs w:val="24"/>
          <w:highlight w:val="none"/>
          <w:lang w:val="en-US" w:eastAsia="zh-CN"/>
        </w:rPr>
        <w:t>一</w:t>
      </w:r>
      <w:r>
        <w:rPr>
          <w:rFonts w:ascii="微软雅黑" w:hAnsi="微软雅黑" w:eastAsia="微软雅黑" w:cs="微软雅黑"/>
          <w:spacing w:val="-1"/>
          <w:sz w:val="24"/>
          <w:szCs w:val="24"/>
          <w:highlight w:val="none"/>
        </w:rPr>
        <w:t>年的用水情况如下(单位：吨)：</w:t>
      </w:r>
    </w:p>
    <w:p w14:paraId="5504EA19">
      <w:pPr>
        <w:spacing w:before="1" w:line="177" w:lineRule="auto"/>
        <w:ind w:left="482"/>
        <w:rPr>
          <w:rFonts w:ascii="微软雅黑" w:hAnsi="微软雅黑" w:eastAsia="微软雅黑" w:cs="微软雅黑"/>
          <w:spacing w:val="-1"/>
          <w:sz w:val="24"/>
          <w:szCs w:val="24"/>
          <w:highlight w:val="none"/>
        </w:rPr>
      </w:pPr>
    </w:p>
    <w:tbl>
      <w:tblPr>
        <w:tblStyle w:val="9"/>
        <w:tblW w:w="6099" w:type="dxa"/>
        <w:tblInd w:w="9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9"/>
        <w:gridCol w:w="2267"/>
        <w:gridCol w:w="2413"/>
      </w:tblGrid>
      <w:tr w14:paraId="08593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419" w:type="dxa"/>
            <w:vAlign w:val="top"/>
          </w:tcPr>
          <w:p w14:paraId="761378DB">
            <w:pPr>
              <w:pStyle w:val="10"/>
              <w:spacing w:before="109" w:line="174" w:lineRule="auto"/>
              <w:ind w:left="472"/>
              <w:rPr>
                <w:highlight w:val="none"/>
              </w:rPr>
            </w:pPr>
            <w:r>
              <w:rPr>
                <w:spacing w:val="-2"/>
                <w:highlight w:val="none"/>
              </w:rPr>
              <w:t>年份</w:t>
            </w:r>
          </w:p>
        </w:tc>
        <w:tc>
          <w:tcPr>
            <w:tcW w:w="2267" w:type="dxa"/>
            <w:vAlign w:val="top"/>
          </w:tcPr>
          <w:p w14:paraId="2FC3258D">
            <w:pPr>
              <w:pStyle w:val="10"/>
              <w:spacing w:before="109" w:line="174" w:lineRule="auto"/>
              <w:ind w:left="417"/>
              <w:rPr>
                <w:highlight w:val="none"/>
              </w:rPr>
            </w:pPr>
            <w:r>
              <w:rPr>
                <w:spacing w:val="-1"/>
                <w:highlight w:val="none"/>
              </w:rPr>
              <w:t>年度总用水量</w:t>
            </w:r>
          </w:p>
        </w:tc>
        <w:tc>
          <w:tcPr>
            <w:tcW w:w="2413" w:type="dxa"/>
            <w:vAlign w:val="top"/>
          </w:tcPr>
          <w:p w14:paraId="6D031141">
            <w:pPr>
              <w:pStyle w:val="10"/>
              <w:spacing w:before="109" w:line="174" w:lineRule="auto"/>
              <w:ind w:left="642"/>
              <w:rPr>
                <w:highlight w:val="none"/>
              </w:rPr>
            </w:pPr>
            <w:r>
              <w:rPr>
                <w:spacing w:val="-6"/>
                <w:highlight w:val="none"/>
              </w:rPr>
              <w:t>日均用水量</w:t>
            </w:r>
          </w:p>
        </w:tc>
      </w:tr>
      <w:tr w14:paraId="3A5C3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419" w:type="dxa"/>
            <w:vAlign w:val="top"/>
          </w:tcPr>
          <w:p w14:paraId="0C4C9A3F">
            <w:pPr>
              <w:pStyle w:val="10"/>
              <w:spacing w:before="119" w:line="167" w:lineRule="auto"/>
              <w:ind w:left="438" w:leftChars="0"/>
              <w:rPr>
                <w:rFonts w:hint="eastAsia" w:ascii="微软雅黑" w:hAnsi="微软雅黑" w:eastAsia="微软雅黑" w:cs="微软雅黑"/>
                <w:snapToGrid w:val="0"/>
                <w:color w:val="auto"/>
                <w:kern w:val="0"/>
                <w:sz w:val="24"/>
                <w:szCs w:val="24"/>
                <w:highlight w:val="none"/>
                <w:lang w:val="en-US" w:eastAsia="zh-CN" w:bidi="ar-SA"/>
              </w:rPr>
            </w:pPr>
            <w:r>
              <w:rPr>
                <w:color w:val="auto"/>
                <w:spacing w:val="-3"/>
                <w:highlight w:val="none"/>
              </w:rPr>
              <w:t>202</w:t>
            </w:r>
            <w:r>
              <w:rPr>
                <w:rFonts w:hint="eastAsia"/>
                <w:color w:val="auto"/>
                <w:spacing w:val="-3"/>
                <w:highlight w:val="none"/>
                <w:lang w:val="en-US" w:eastAsia="zh-CN"/>
              </w:rPr>
              <w:t>3</w:t>
            </w:r>
          </w:p>
        </w:tc>
        <w:tc>
          <w:tcPr>
            <w:tcW w:w="2267" w:type="dxa"/>
            <w:vAlign w:val="top"/>
          </w:tcPr>
          <w:p w14:paraId="54CCF27F">
            <w:pPr>
              <w:pStyle w:val="10"/>
              <w:spacing w:before="119" w:line="167" w:lineRule="auto"/>
              <w:ind w:left="802" w:leftChars="0"/>
              <w:rPr>
                <w:rFonts w:hint="default" w:ascii="微软雅黑" w:hAnsi="微软雅黑" w:eastAsia="微软雅黑" w:cs="微软雅黑"/>
                <w:snapToGrid w:val="0"/>
                <w:color w:val="auto"/>
                <w:kern w:val="0"/>
                <w:sz w:val="24"/>
                <w:szCs w:val="24"/>
                <w:highlight w:val="none"/>
                <w:lang w:val="en-US" w:eastAsia="zh-CN" w:bidi="ar-SA"/>
              </w:rPr>
            </w:pPr>
            <w:r>
              <w:rPr>
                <w:rFonts w:hint="eastAsia" w:cs="微软雅黑"/>
                <w:snapToGrid w:val="0"/>
                <w:color w:val="auto"/>
                <w:kern w:val="0"/>
                <w:sz w:val="24"/>
                <w:szCs w:val="24"/>
                <w:highlight w:val="none"/>
                <w:lang w:val="en-US" w:eastAsia="zh-CN" w:bidi="ar-SA"/>
              </w:rPr>
              <w:t>52138</w:t>
            </w:r>
          </w:p>
        </w:tc>
        <w:tc>
          <w:tcPr>
            <w:tcW w:w="2413" w:type="dxa"/>
            <w:vAlign w:val="top"/>
          </w:tcPr>
          <w:p w14:paraId="6498A1B3">
            <w:pPr>
              <w:pStyle w:val="10"/>
              <w:spacing w:before="119" w:line="167" w:lineRule="auto"/>
              <w:ind w:left="849" w:leftChars="0"/>
              <w:rPr>
                <w:rFonts w:hint="default" w:ascii="微软雅黑" w:hAnsi="微软雅黑" w:eastAsia="微软雅黑" w:cs="微软雅黑"/>
                <w:snapToGrid w:val="0"/>
                <w:color w:val="auto"/>
                <w:kern w:val="0"/>
                <w:sz w:val="24"/>
                <w:szCs w:val="24"/>
                <w:highlight w:val="none"/>
                <w:lang w:val="en-US" w:eastAsia="zh-CN" w:bidi="ar-SA"/>
              </w:rPr>
            </w:pPr>
            <w:r>
              <w:rPr>
                <w:rFonts w:hint="eastAsia" w:cs="微软雅黑"/>
                <w:snapToGrid w:val="0"/>
                <w:color w:val="auto"/>
                <w:kern w:val="0"/>
                <w:sz w:val="24"/>
                <w:szCs w:val="24"/>
                <w:highlight w:val="none"/>
                <w:lang w:val="en-US" w:eastAsia="zh-CN" w:bidi="ar-SA"/>
              </w:rPr>
              <w:t>142.84</w:t>
            </w:r>
          </w:p>
        </w:tc>
      </w:tr>
    </w:tbl>
    <w:p w14:paraId="2649E321">
      <w:pPr>
        <w:pStyle w:val="3"/>
        <w:spacing w:line="411" w:lineRule="auto"/>
        <w:rPr>
          <w:highlight w:val="none"/>
        </w:rPr>
      </w:pPr>
    </w:p>
    <w:p w14:paraId="4DC03FDC">
      <w:pPr>
        <w:spacing w:before="103" w:line="194" w:lineRule="auto"/>
        <w:ind w:left="10"/>
        <w:outlineLvl w:val="0"/>
        <w:rPr>
          <w:rFonts w:ascii="微软雅黑" w:hAnsi="微软雅黑" w:eastAsia="微软雅黑" w:cs="微软雅黑"/>
          <w:sz w:val="24"/>
          <w:szCs w:val="24"/>
          <w:highlight w:val="none"/>
        </w:rPr>
      </w:pPr>
      <w:bookmarkStart w:id="27" w:name="bookmark28"/>
      <w:bookmarkEnd w:id="27"/>
      <w:r>
        <w:rPr>
          <w:rFonts w:ascii="微软雅黑" w:hAnsi="微软雅黑" w:eastAsia="微软雅黑" w:cs="微软雅黑"/>
          <w:b/>
          <w:bCs/>
          <w:spacing w:val="-1"/>
          <w:sz w:val="24"/>
          <w:szCs w:val="24"/>
          <w:highlight w:val="none"/>
        </w:rPr>
        <w:t>7、生命周期废物管理</w:t>
      </w:r>
    </w:p>
    <w:p w14:paraId="51C5974E">
      <w:pPr>
        <w:spacing w:before="82" w:line="232" w:lineRule="auto"/>
        <w:ind w:firstLine="482"/>
        <w:jc w:val="both"/>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公司不仅在生产制造工序上，包括涉及到产品整个寿命周期方面都综合性的建立了资源有</w:t>
      </w:r>
      <w:r>
        <w:rPr>
          <w:rFonts w:ascii="微软雅黑" w:hAnsi="微软雅黑" w:eastAsia="微软雅黑" w:cs="微软雅黑"/>
          <w:spacing w:val="-9"/>
          <w:sz w:val="24"/>
          <w:szCs w:val="24"/>
          <w:highlight w:val="none"/>
        </w:rPr>
        <w:t>效利用和废弃物减排、回收工作。在公司内部，公司秉承“废物是放错地点</w:t>
      </w:r>
      <w:r>
        <w:rPr>
          <w:rFonts w:ascii="微软雅黑" w:hAnsi="微软雅黑" w:eastAsia="微软雅黑" w:cs="微软雅黑"/>
          <w:spacing w:val="-10"/>
          <w:sz w:val="24"/>
          <w:szCs w:val="24"/>
          <w:highlight w:val="none"/>
        </w:rPr>
        <w:t>的原料”这一理念，</w:t>
      </w:r>
      <w:r>
        <w:rPr>
          <w:rFonts w:ascii="微软雅黑" w:hAnsi="微软雅黑" w:eastAsia="微软雅黑" w:cs="微软雅黑"/>
          <w:spacing w:val="1"/>
          <w:sz w:val="24"/>
          <w:szCs w:val="24"/>
          <w:highlight w:val="none"/>
        </w:rPr>
        <w:t>大力做好资源的循环利用工作，通过对报废产品</w:t>
      </w:r>
      <w:r>
        <w:rPr>
          <w:rFonts w:ascii="微软雅黑" w:hAnsi="微软雅黑" w:eastAsia="微软雅黑" w:cs="微软雅黑"/>
          <w:sz w:val="24"/>
          <w:szCs w:val="24"/>
          <w:highlight w:val="none"/>
        </w:rPr>
        <w:t>进行回收、再利用、再循环，公司实现铝合金</w:t>
      </w:r>
      <w:r>
        <w:rPr>
          <w:rFonts w:ascii="微软雅黑" w:hAnsi="微软雅黑" w:eastAsia="微软雅黑" w:cs="微软雅黑"/>
          <w:spacing w:val="-1"/>
          <w:sz w:val="24"/>
          <w:szCs w:val="24"/>
          <w:highlight w:val="none"/>
        </w:rPr>
        <w:t>废品、边角料100%回收再利用。在公司外部，建立逆向的业务管理通道，将退货、尾料、报</w:t>
      </w:r>
      <w:r>
        <w:rPr>
          <w:rFonts w:ascii="微软雅黑" w:hAnsi="微软雅黑" w:eastAsia="微软雅黑" w:cs="微软雅黑"/>
          <w:spacing w:val="-6"/>
          <w:sz w:val="24"/>
          <w:szCs w:val="24"/>
          <w:highlight w:val="none"/>
        </w:rPr>
        <w:t>废等纳入全面的管理中，提升物料的管理能力。重点对客户使用后的头尾</w:t>
      </w:r>
      <w:r>
        <w:rPr>
          <w:rFonts w:ascii="微软雅黑" w:hAnsi="微软雅黑" w:eastAsia="微软雅黑" w:cs="微软雅黑"/>
          <w:spacing w:val="-7"/>
          <w:sz w:val="24"/>
          <w:szCs w:val="24"/>
          <w:highlight w:val="none"/>
        </w:rPr>
        <w:t>废料进行回收再利用，</w:t>
      </w:r>
      <w:r>
        <w:rPr>
          <w:rFonts w:ascii="微软雅黑" w:hAnsi="微软雅黑" w:eastAsia="微软雅黑" w:cs="微软雅黑"/>
          <w:spacing w:val="-1"/>
          <w:sz w:val="24"/>
          <w:szCs w:val="24"/>
          <w:highlight w:val="none"/>
        </w:rPr>
        <w:t>退货、报废产品的改制处理，报废产品的回收重熔。进一步为环境</w:t>
      </w:r>
      <w:r>
        <w:rPr>
          <w:rFonts w:ascii="微软雅黑" w:hAnsi="微软雅黑" w:eastAsia="微软雅黑" w:cs="微软雅黑"/>
          <w:spacing w:val="-2"/>
          <w:sz w:val="24"/>
          <w:szCs w:val="24"/>
          <w:highlight w:val="none"/>
        </w:rPr>
        <w:t>负荷削减而努力。</w:t>
      </w:r>
    </w:p>
    <w:p w14:paraId="51FBBF4A">
      <w:pPr>
        <w:pStyle w:val="3"/>
        <w:spacing w:line="386" w:lineRule="auto"/>
        <w:rPr>
          <w:highlight w:val="none"/>
        </w:rPr>
      </w:pPr>
    </w:p>
    <w:p w14:paraId="294978A0">
      <w:pPr>
        <w:spacing w:before="67" w:line="199" w:lineRule="auto"/>
        <w:ind w:left="4"/>
        <w:rPr>
          <w:rFonts w:ascii="微软雅黑" w:hAnsi="微软雅黑" w:eastAsia="微软雅黑" w:cs="微软雅黑"/>
          <w:b/>
          <w:bCs/>
          <w:spacing w:val="7"/>
          <w:sz w:val="31"/>
          <w:szCs w:val="31"/>
          <w:highlight w:val="none"/>
          <w:u w:val="single" w:color="auto"/>
        </w:rPr>
      </w:pPr>
      <w:bookmarkStart w:id="28" w:name="bookmark29"/>
      <w:bookmarkEnd w:id="28"/>
      <w:bookmarkStart w:id="29" w:name="bookmark30"/>
      <w:bookmarkEnd w:id="29"/>
    </w:p>
    <w:p w14:paraId="304FC9B7">
      <w:pPr>
        <w:spacing w:before="67" w:line="199" w:lineRule="auto"/>
        <w:ind w:left="4"/>
        <w:rPr>
          <w:rFonts w:ascii="微软雅黑" w:hAnsi="微软雅黑" w:eastAsia="微软雅黑" w:cs="微软雅黑"/>
          <w:b/>
          <w:bCs/>
          <w:spacing w:val="7"/>
          <w:sz w:val="31"/>
          <w:szCs w:val="31"/>
          <w:highlight w:val="none"/>
          <w:u w:val="single" w:color="auto"/>
        </w:rPr>
      </w:pPr>
    </w:p>
    <w:p w14:paraId="35BBA7B7">
      <w:pPr>
        <w:spacing w:before="67" w:line="199" w:lineRule="auto"/>
        <w:ind w:left="4"/>
        <w:rPr>
          <w:rFonts w:ascii="微软雅黑" w:hAnsi="微软雅黑" w:eastAsia="微软雅黑" w:cs="微软雅黑"/>
          <w:b/>
          <w:bCs/>
          <w:spacing w:val="7"/>
          <w:sz w:val="31"/>
          <w:szCs w:val="31"/>
          <w:highlight w:val="none"/>
          <w:u w:val="single" w:color="auto"/>
        </w:rPr>
      </w:pPr>
    </w:p>
    <w:p w14:paraId="790F0F83">
      <w:pPr>
        <w:spacing w:before="67" w:line="199" w:lineRule="auto"/>
        <w:ind w:left="4"/>
        <w:rPr>
          <w:rFonts w:ascii="微软雅黑" w:hAnsi="微软雅黑" w:eastAsia="微软雅黑" w:cs="微软雅黑"/>
          <w:b/>
          <w:bCs/>
          <w:spacing w:val="7"/>
          <w:sz w:val="31"/>
          <w:szCs w:val="31"/>
          <w:highlight w:val="none"/>
          <w:u w:val="single" w:color="auto"/>
        </w:rPr>
      </w:pPr>
    </w:p>
    <w:p w14:paraId="08DDFFC0">
      <w:pPr>
        <w:spacing w:before="67" w:line="199" w:lineRule="auto"/>
        <w:ind w:left="4"/>
        <w:rPr>
          <w:rFonts w:ascii="微软雅黑" w:hAnsi="微软雅黑" w:eastAsia="微软雅黑" w:cs="微软雅黑"/>
          <w:b/>
          <w:bCs/>
          <w:spacing w:val="7"/>
          <w:sz w:val="31"/>
          <w:szCs w:val="31"/>
          <w:highlight w:val="none"/>
          <w:u w:val="single" w:color="auto"/>
        </w:rPr>
      </w:pPr>
    </w:p>
    <w:p w14:paraId="44184FBA">
      <w:pPr>
        <w:spacing w:before="67" w:line="199" w:lineRule="auto"/>
        <w:ind w:left="4"/>
        <w:rPr>
          <w:rFonts w:ascii="微软雅黑" w:hAnsi="微软雅黑" w:eastAsia="微软雅黑" w:cs="微软雅黑"/>
          <w:b/>
          <w:bCs/>
          <w:spacing w:val="7"/>
          <w:sz w:val="31"/>
          <w:szCs w:val="31"/>
          <w:highlight w:val="none"/>
          <w:u w:val="single" w:color="auto"/>
        </w:rPr>
      </w:pPr>
    </w:p>
    <w:p w14:paraId="1F91FD3A">
      <w:pPr>
        <w:spacing w:before="67" w:line="199" w:lineRule="auto"/>
        <w:ind w:left="4"/>
        <w:rPr>
          <w:rFonts w:ascii="微软雅黑" w:hAnsi="微软雅黑" w:eastAsia="微软雅黑" w:cs="微软雅黑"/>
          <w:b/>
          <w:bCs/>
          <w:spacing w:val="7"/>
          <w:sz w:val="31"/>
          <w:szCs w:val="31"/>
          <w:highlight w:val="none"/>
          <w:u w:val="single" w:color="auto"/>
        </w:rPr>
      </w:pPr>
    </w:p>
    <w:p w14:paraId="5B521C3B">
      <w:pPr>
        <w:spacing w:before="67" w:line="199" w:lineRule="auto"/>
        <w:ind w:left="4"/>
        <w:rPr>
          <w:rFonts w:ascii="微软雅黑" w:hAnsi="微软雅黑" w:eastAsia="微软雅黑" w:cs="微软雅黑"/>
          <w:b/>
          <w:bCs/>
          <w:spacing w:val="7"/>
          <w:sz w:val="31"/>
          <w:szCs w:val="31"/>
          <w:highlight w:val="none"/>
          <w:u w:val="single" w:color="auto"/>
        </w:rPr>
      </w:pPr>
    </w:p>
    <w:p w14:paraId="247D98E1">
      <w:pPr>
        <w:spacing w:before="67" w:line="199" w:lineRule="auto"/>
        <w:ind w:left="4"/>
        <w:rPr>
          <w:rFonts w:ascii="微软雅黑" w:hAnsi="微软雅黑" w:eastAsia="微软雅黑" w:cs="微软雅黑"/>
          <w:b/>
          <w:bCs/>
          <w:spacing w:val="7"/>
          <w:sz w:val="31"/>
          <w:szCs w:val="31"/>
          <w:highlight w:val="none"/>
          <w:u w:val="single" w:color="auto"/>
        </w:rPr>
      </w:pPr>
    </w:p>
    <w:p w14:paraId="32C08927">
      <w:pPr>
        <w:spacing w:before="67" w:line="199" w:lineRule="auto"/>
        <w:ind w:left="4"/>
        <w:rPr>
          <w:rFonts w:ascii="微软雅黑" w:hAnsi="微软雅黑" w:eastAsia="微软雅黑" w:cs="微软雅黑"/>
          <w:b/>
          <w:bCs/>
          <w:spacing w:val="7"/>
          <w:sz w:val="31"/>
          <w:szCs w:val="31"/>
          <w:highlight w:val="none"/>
          <w:u w:val="single" w:color="auto"/>
        </w:rPr>
      </w:pPr>
    </w:p>
    <w:p w14:paraId="45C3DA99">
      <w:pPr>
        <w:spacing w:before="67" w:line="199" w:lineRule="auto"/>
        <w:ind w:left="4"/>
        <w:rPr>
          <w:rFonts w:ascii="微软雅黑" w:hAnsi="微软雅黑" w:eastAsia="微软雅黑" w:cs="微软雅黑"/>
          <w:b/>
          <w:bCs/>
          <w:spacing w:val="7"/>
          <w:sz w:val="31"/>
          <w:szCs w:val="31"/>
          <w:highlight w:val="none"/>
          <w:u w:val="single" w:color="auto"/>
        </w:rPr>
      </w:pPr>
    </w:p>
    <w:p w14:paraId="49B2A189">
      <w:pPr>
        <w:spacing w:before="67" w:line="199" w:lineRule="auto"/>
        <w:ind w:left="4"/>
        <w:rPr>
          <w:rFonts w:ascii="微软雅黑" w:hAnsi="微软雅黑" w:eastAsia="微软雅黑" w:cs="微软雅黑"/>
          <w:b/>
          <w:bCs/>
          <w:spacing w:val="7"/>
          <w:sz w:val="31"/>
          <w:szCs w:val="31"/>
          <w:highlight w:val="none"/>
          <w:u w:val="single" w:color="auto"/>
        </w:rPr>
      </w:pPr>
    </w:p>
    <w:p w14:paraId="4996DDA5">
      <w:pPr>
        <w:spacing w:before="67" w:line="199" w:lineRule="auto"/>
        <w:ind w:left="4"/>
        <w:rPr>
          <w:rFonts w:ascii="微软雅黑" w:hAnsi="微软雅黑" w:eastAsia="微软雅黑" w:cs="微软雅黑"/>
          <w:b/>
          <w:bCs/>
          <w:spacing w:val="7"/>
          <w:sz w:val="31"/>
          <w:szCs w:val="31"/>
          <w:highlight w:val="none"/>
          <w:u w:val="single" w:color="auto"/>
        </w:rPr>
      </w:pPr>
    </w:p>
    <w:p w14:paraId="67CD2EF7">
      <w:pPr>
        <w:spacing w:before="67" w:line="199" w:lineRule="auto"/>
        <w:ind w:left="4"/>
        <w:rPr>
          <w:rFonts w:ascii="微软雅黑" w:hAnsi="微软雅黑" w:eastAsia="微软雅黑" w:cs="微软雅黑"/>
          <w:b/>
          <w:bCs/>
          <w:spacing w:val="7"/>
          <w:sz w:val="31"/>
          <w:szCs w:val="31"/>
          <w:highlight w:val="none"/>
          <w:u w:val="single" w:color="auto"/>
        </w:rPr>
      </w:pPr>
    </w:p>
    <w:p w14:paraId="6365C6B8">
      <w:pPr>
        <w:spacing w:before="67" w:line="199" w:lineRule="auto"/>
        <w:ind w:left="4"/>
        <w:rPr>
          <w:rFonts w:ascii="微软雅黑" w:hAnsi="微软雅黑" w:eastAsia="微软雅黑" w:cs="微软雅黑"/>
          <w:b/>
          <w:bCs/>
          <w:spacing w:val="7"/>
          <w:sz w:val="31"/>
          <w:szCs w:val="31"/>
          <w:highlight w:val="none"/>
          <w:u w:val="single" w:color="auto"/>
        </w:rPr>
      </w:pPr>
    </w:p>
    <w:p w14:paraId="2A3499FC">
      <w:pPr>
        <w:spacing w:before="67" w:line="199" w:lineRule="auto"/>
        <w:ind w:left="4"/>
        <w:rPr>
          <w:rFonts w:ascii="微软雅黑" w:hAnsi="微软雅黑" w:eastAsia="微软雅黑" w:cs="微软雅黑"/>
          <w:b/>
          <w:bCs/>
          <w:spacing w:val="7"/>
          <w:sz w:val="31"/>
          <w:szCs w:val="31"/>
          <w:highlight w:val="none"/>
          <w:u w:val="single" w:color="auto"/>
        </w:rPr>
      </w:pPr>
    </w:p>
    <w:p w14:paraId="62AF3236">
      <w:pPr>
        <w:spacing w:before="67" w:line="199" w:lineRule="auto"/>
        <w:ind w:left="4"/>
        <w:rPr>
          <w:rFonts w:ascii="微软雅黑" w:hAnsi="微软雅黑" w:eastAsia="微软雅黑" w:cs="微软雅黑"/>
          <w:b/>
          <w:bCs/>
          <w:spacing w:val="7"/>
          <w:sz w:val="31"/>
          <w:szCs w:val="31"/>
          <w:highlight w:val="none"/>
          <w:u w:val="single" w:color="auto"/>
        </w:rPr>
      </w:pPr>
    </w:p>
    <w:p w14:paraId="6F37F709">
      <w:pPr>
        <w:spacing w:before="67" w:line="199" w:lineRule="auto"/>
        <w:ind w:left="4"/>
        <w:rPr>
          <w:rFonts w:ascii="微软雅黑" w:hAnsi="微软雅黑" w:eastAsia="微软雅黑" w:cs="微软雅黑"/>
          <w:sz w:val="31"/>
          <w:szCs w:val="31"/>
          <w:highlight w:val="none"/>
        </w:rPr>
      </w:pPr>
      <w:r>
        <w:rPr>
          <w:rFonts w:ascii="微软雅黑" w:hAnsi="微软雅黑" w:eastAsia="微软雅黑" w:cs="微软雅黑"/>
          <w:b/>
          <w:bCs/>
          <w:spacing w:val="7"/>
          <w:sz w:val="31"/>
          <w:szCs w:val="31"/>
          <w:highlight w:val="none"/>
          <w:u w:val="single" w:color="auto"/>
        </w:rPr>
        <w:t>劳工人权</w:t>
      </w:r>
    </w:p>
    <w:p w14:paraId="135F7E50">
      <w:pPr>
        <w:pStyle w:val="3"/>
        <w:spacing w:line="296" w:lineRule="auto"/>
        <w:rPr>
          <w:highlight w:val="none"/>
        </w:rPr>
      </w:pPr>
    </w:p>
    <w:p w14:paraId="7F93FB37">
      <w:pPr>
        <w:pStyle w:val="3"/>
        <w:spacing w:line="296" w:lineRule="auto"/>
        <w:rPr>
          <w:highlight w:val="none"/>
        </w:rPr>
      </w:pPr>
    </w:p>
    <w:p w14:paraId="49A87180">
      <w:pPr>
        <w:spacing w:before="103" w:line="228" w:lineRule="auto"/>
        <w:ind w:left="1" w:firstLine="481"/>
        <w:jc w:val="both"/>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只有充分保护人权，充分尊重所有员工的权益，企业才能繁荣发展。我们支持《世界人权</w:t>
      </w:r>
      <w:r>
        <w:rPr>
          <w:rFonts w:ascii="微软雅黑" w:hAnsi="微软雅黑" w:eastAsia="微软雅黑" w:cs="微软雅黑"/>
          <w:spacing w:val="-16"/>
          <w:sz w:val="24"/>
          <w:szCs w:val="24"/>
          <w:highlight w:val="none"/>
        </w:rPr>
        <w:t>宣言》《国际人权公约》，严格遵守《中华人民共和国劳动法》《</w:t>
      </w:r>
      <w:r>
        <w:rPr>
          <w:rFonts w:ascii="微软雅黑" w:hAnsi="微软雅黑" w:eastAsia="微软雅黑" w:cs="微软雅黑"/>
          <w:spacing w:val="-17"/>
          <w:sz w:val="24"/>
          <w:szCs w:val="24"/>
          <w:highlight w:val="none"/>
        </w:rPr>
        <w:t>中华人民共和国劳动合同法》《中</w:t>
      </w:r>
      <w:r>
        <w:rPr>
          <w:rFonts w:ascii="微软雅黑" w:hAnsi="微软雅黑" w:eastAsia="微软雅黑" w:cs="微软雅黑"/>
          <w:spacing w:val="-5"/>
          <w:sz w:val="24"/>
          <w:szCs w:val="24"/>
          <w:highlight w:val="none"/>
        </w:rPr>
        <w:t>华人民共和国社会保险法》《职工带薪年休假条例》《工伤保险条例》及《中华人民</w:t>
      </w:r>
      <w:r>
        <w:rPr>
          <w:rFonts w:ascii="微软雅黑" w:hAnsi="微软雅黑" w:eastAsia="微软雅黑" w:cs="微软雅黑"/>
          <w:spacing w:val="-6"/>
          <w:sz w:val="24"/>
          <w:szCs w:val="24"/>
          <w:highlight w:val="none"/>
        </w:rPr>
        <w:t>共和国妇女</w:t>
      </w:r>
      <w:r>
        <w:rPr>
          <w:rFonts w:ascii="微软雅黑" w:hAnsi="微软雅黑" w:eastAsia="微软雅黑" w:cs="微软雅黑"/>
          <w:spacing w:val="-4"/>
          <w:sz w:val="24"/>
          <w:szCs w:val="24"/>
          <w:highlight w:val="none"/>
        </w:rPr>
        <w:t>权益保护法》等法律法规。</w:t>
      </w:r>
    </w:p>
    <w:p w14:paraId="234F831E">
      <w:pPr>
        <w:pStyle w:val="3"/>
        <w:spacing w:line="385" w:lineRule="auto"/>
        <w:rPr>
          <w:highlight w:val="none"/>
        </w:rPr>
      </w:pPr>
    </w:p>
    <w:p w14:paraId="6ADC82A8">
      <w:pPr>
        <w:spacing w:before="103" w:line="217" w:lineRule="auto"/>
        <w:ind w:left="5" w:right="3" w:firstLine="476"/>
        <w:rPr>
          <w:rFonts w:ascii="微软雅黑" w:hAnsi="微软雅黑" w:eastAsia="微软雅黑" w:cs="微软雅黑"/>
          <w:sz w:val="24"/>
          <w:szCs w:val="24"/>
          <w:highlight w:val="none"/>
        </w:rPr>
      </w:pPr>
      <w:r>
        <w:rPr>
          <w:rFonts w:ascii="微软雅黑" w:hAnsi="微软雅黑" w:eastAsia="微软雅黑" w:cs="微软雅黑"/>
          <w:spacing w:val="-11"/>
          <w:sz w:val="24"/>
          <w:szCs w:val="24"/>
          <w:highlight w:val="none"/>
        </w:rPr>
        <w:t>公司编制《ASIPS管理手册》《员工手册》等文件，杜绝一切形式的用工歧视，反对强迫劳</w:t>
      </w:r>
      <w:r>
        <w:rPr>
          <w:rFonts w:ascii="微软雅黑" w:hAnsi="微软雅黑" w:eastAsia="微软雅黑" w:cs="微软雅黑"/>
          <w:spacing w:val="-2"/>
          <w:sz w:val="24"/>
          <w:szCs w:val="24"/>
          <w:highlight w:val="none"/>
        </w:rPr>
        <w:t>工及禁止雇佣童工，实行性别、民族、信仰、年龄无差别的雇佣政策。</w:t>
      </w:r>
    </w:p>
    <w:p w14:paraId="425E131C">
      <w:pPr>
        <w:pStyle w:val="3"/>
        <w:spacing w:line="390" w:lineRule="auto"/>
        <w:rPr>
          <w:highlight w:val="none"/>
        </w:rPr>
      </w:pPr>
    </w:p>
    <w:p w14:paraId="61C62286">
      <w:pPr>
        <w:spacing w:before="103" w:line="232" w:lineRule="auto"/>
        <w:ind w:left="1" w:right="4" w:firstLine="480"/>
        <w:jc w:val="both"/>
        <w:rPr>
          <w:rFonts w:ascii="微软雅黑" w:hAnsi="微软雅黑" w:eastAsia="微软雅黑" w:cs="微软雅黑"/>
          <w:sz w:val="24"/>
          <w:szCs w:val="24"/>
          <w:highlight w:val="none"/>
        </w:rPr>
      </w:pPr>
      <w:r>
        <w:rPr>
          <w:rFonts w:ascii="微软雅黑" w:hAnsi="微软雅黑" w:eastAsia="微软雅黑" w:cs="微软雅黑"/>
          <w:spacing w:val="-13"/>
          <w:sz w:val="24"/>
          <w:szCs w:val="24"/>
          <w:highlight w:val="none"/>
        </w:rPr>
        <w:t>我们遵循合法、公平、平等自愿、协商一致、诚实信</w:t>
      </w:r>
      <w:r>
        <w:rPr>
          <w:rFonts w:ascii="微软雅黑" w:hAnsi="微软雅黑" w:eastAsia="微软雅黑" w:cs="微软雅黑"/>
          <w:spacing w:val="-14"/>
          <w:sz w:val="24"/>
          <w:szCs w:val="24"/>
          <w:highlight w:val="none"/>
        </w:rPr>
        <w:t>用的原则，与员工及时签订劳动合同，</w:t>
      </w:r>
      <w:r>
        <w:rPr>
          <w:rFonts w:ascii="微软雅黑" w:hAnsi="微软雅黑" w:eastAsia="微软雅黑" w:cs="微软雅黑"/>
          <w:spacing w:val="-3"/>
          <w:sz w:val="24"/>
          <w:szCs w:val="24"/>
          <w:highlight w:val="none"/>
        </w:rPr>
        <w:t>并在劳动合同中明确合同双方当事人的权利和义务，保护劳动者的合法权益。在招聘、考</w:t>
      </w:r>
      <w:r>
        <w:rPr>
          <w:rFonts w:ascii="微软雅黑" w:hAnsi="微软雅黑" w:eastAsia="微软雅黑" w:cs="微软雅黑"/>
          <w:sz w:val="24"/>
          <w:szCs w:val="24"/>
          <w:highlight w:val="none"/>
        </w:rPr>
        <w:t>核、薪酬等环节，我们对员工个人履历、家庭信息、薪资信息、健康信息等进行专人管理，并</w:t>
      </w:r>
      <w:r>
        <w:rPr>
          <w:rFonts w:ascii="微软雅黑" w:hAnsi="微软雅黑" w:eastAsia="微软雅黑" w:cs="微软雅黑"/>
          <w:spacing w:val="-12"/>
          <w:sz w:val="24"/>
          <w:szCs w:val="24"/>
          <w:highlight w:val="none"/>
        </w:rPr>
        <w:t>严格做好保密工作，保障隐私权。在员工群体中实行民主管理，通过员工大</w:t>
      </w:r>
      <w:r>
        <w:rPr>
          <w:rFonts w:ascii="微软雅黑" w:hAnsi="微软雅黑" w:eastAsia="微软雅黑" w:cs="微软雅黑"/>
          <w:spacing w:val="-13"/>
          <w:sz w:val="24"/>
          <w:szCs w:val="24"/>
          <w:highlight w:val="none"/>
        </w:rPr>
        <w:t>会、走访、座谈会、</w:t>
      </w:r>
      <w:r>
        <w:rPr>
          <w:rFonts w:ascii="微软雅黑" w:hAnsi="微软雅黑" w:eastAsia="微软雅黑" w:cs="微软雅黑"/>
          <w:spacing w:val="1"/>
          <w:sz w:val="24"/>
          <w:szCs w:val="24"/>
          <w:highlight w:val="none"/>
        </w:rPr>
        <w:t>员工满意度调查问卷、领导信箱等多种手段</w:t>
      </w:r>
      <w:r>
        <w:rPr>
          <w:rFonts w:ascii="微软雅黑" w:hAnsi="微软雅黑" w:eastAsia="微软雅黑" w:cs="微软雅黑"/>
          <w:sz w:val="24"/>
          <w:szCs w:val="24"/>
          <w:highlight w:val="none"/>
        </w:rPr>
        <w:t>倾听来自员工的意见或建议，并及时处理改善工作</w:t>
      </w:r>
      <w:r>
        <w:rPr>
          <w:rFonts w:hint="eastAsia" w:ascii="微软雅黑" w:hAnsi="微软雅黑" w:eastAsia="微软雅黑" w:cs="微软雅黑"/>
          <w:sz w:val="24"/>
          <w:szCs w:val="24"/>
          <w:highlight w:val="none"/>
          <w:lang w:eastAsia="zh-CN"/>
        </w:rPr>
        <w:t>和</w:t>
      </w:r>
      <w:r>
        <w:rPr>
          <w:rFonts w:ascii="微软雅黑" w:hAnsi="微软雅黑" w:eastAsia="微软雅黑" w:cs="微软雅黑"/>
          <w:spacing w:val="-8"/>
          <w:sz w:val="24"/>
          <w:szCs w:val="24"/>
          <w:highlight w:val="none"/>
        </w:rPr>
        <w:t>生活环境。</w:t>
      </w:r>
    </w:p>
    <w:p w14:paraId="04E4EC31">
      <w:pPr>
        <w:pStyle w:val="3"/>
        <w:spacing w:line="386" w:lineRule="auto"/>
        <w:rPr>
          <w:highlight w:val="none"/>
        </w:rPr>
      </w:pPr>
    </w:p>
    <w:p w14:paraId="38598F12">
      <w:pPr>
        <w:spacing w:before="103" w:line="228" w:lineRule="auto"/>
        <w:ind w:firstLine="482"/>
        <w:jc w:val="both"/>
        <w:rPr>
          <w:rFonts w:hint="eastAsia" w:ascii="微软雅黑" w:hAnsi="微软雅黑" w:eastAsia="微软雅黑" w:cs="微软雅黑"/>
          <w:color w:val="auto"/>
          <w:spacing w:val="-9"/>
          <w:sz w:val="24"/>
          <w:szCs w:val="24"/>
          <w:highlight w:val="none"/>
          <w:lang w:eastAsia="zh-CN"/>
        </w:rPr>
      </w:pPr>
      <w:r>
        <w:rPr>
          <w:rFonts w:ascii="微软雅黑" w:hAnsi="微软雅黑" w:eastAsia="微软雅黑" w:cs="微软雅黑"/>
          <w:spacing w:val="-10"/>
          <w:sz w:val="24"/>
          <w:szCs w:val="24"/>
          <w:highlight w:val="none"/>
        </w:rPr>
        <w:t>我们推</w:t>
      </w:r>
      <w:r>
        <w:rPr>
          <w:rFonts w:ascii="微软雅黑" w:hAnsi="微软雅黑" w:eastAsia="微软雅黑" w:cs="微软雅黑"/>
          <w:spacing w:val="-9"/>
          <w:sz w:val="24"/>
          <w:szCs w:val="24"/>
          <w:highlight w:val="none"/>
        </w:rPr>
        <w:t>行全员社保政策</w:t>
      </w:r>
      <w:r>
        <w:rPr>
          <w:rFonts w:ascii="微软雅黑" w:hAnsi="微软雅黑" w:eastAsia="微软雅黑" w:cs="微软雅黑"/>
          <w:color w:val="FF0000"/>
          <w:spacing w:val="-9"/>
          <w:sz w:val="24"/>
          <w:szCs w:val="24"/>
          <w:highlight w:val="none"/>
        </w:rPr>
        <w:t>，</w:t>
      </w:r>
      <w:r>
        <w:rPr>
          <w:rFonts w:ascii="微软雅黑" w:hAnsi="微软雅黑" w:eastAsia="微软雅黑" w:cs="微软雅黑"/>
          <w:color w:val="auto"/>
          <w:spacing w:val="-9"/>
          <w:sz w:val="24"/>
          <w:szCs w:val="24"/>
          <w:highlight w:val="none"/>
        </w:rPr>
        <w:t>202</w:t>
      </w:r>
      <w:r>
        <w:rPr>
          <w:rFonts w:hint="eastAsia" w:ascii="微软雅黑" w:hAnsi="微软雅黑" w:eastAsia="微软雅黑" w:cs="微软雅黑"/>
          <w:color w:val="auto"/>
          <w:spacing w:val="-9"/>
          <w:sz w:val="24"/>
          <w:szCs w:val="24"/>
          <w:highlight w:val="none"/>
          <w:lang w:val="en-US" w:eastAsia="zh-CN"/>
        </w:rPr>
        <w:t>3</w:t>
      </w:r>
      <w:r>
        <w:rPr>
          <w:rFonts w:ascii="微软雅黑" w:hAnsi="微软雅黑" w:eastAsia="微软雅黑" w:cs="微软雅黑"/>
          <w:color w:val="auto"/>
          <w:spacing w:val="-9"/>
          <w:sz w:val="24"/>
          <w:szCs w:val="24"/>
          <w:highlight w:val="none"/>
        </w:rPr>
        <w:t>年度为员工缴纳养老、医疗、失业、工伤和生育保险，</w:t>
      </w:r>
      <w:r>
        <w:rPr>
          <w:rFonts w:ascii="微软雅黑" w:hAnsi="微软雅黑" w:eastAsia="微软雅黑" w:cs="微软雅黑"/>
          <w:color w:val="auto"/>
          <w:spacing w:val="-10"/>
          <w:sz w:val="24"/>
          <w:szCs w:val="24"/>
          <w:highlight w:val="none"/>
        </w:rPr>
        <w:t>并</w:t>
      </w:r>
      <w:r>
        <w:rPr>
          <w:rFonts w:ascii="微软雅黑" w:hAnsi="微软雅黑" w:eastAsia="微软雅黑" w:cs="微软雅黑"/>
          <w:color w:val="auto"/>
          <w:spacing w:val="-7"/>
          <w:sz w:val="24"/>
          <w:szCs w:val="24"/>
          <w:highlight w:val="none"/>
        </w:rPr>
        <w:t>提</w:t>
      </w:r>
      <w:r>
        <w:rPr>
          <w:rFonts w:ascii="微软雅黑" w:hAnsi="微软雅黑" w:eastAsia="微软雅黑" w:cs="微软雅黑"/>
          <w:color w:val="auto"/>
          <w:spacing w:val="-8"/>
          <w:sz w:val="24"/>
          <w:szCs w:val="24"/>
          <w:highlight w:val="none"/>
        </w:rPr>
        <w:t>供雇主</w:t>
      </w:r>
      <w:r>
        <w:rPr>
          <w:rFonts w:ascii="微软雅黑" w:hAnsi="微软雅黑" w:eastAsia="微软雅黑" w:cs="微软雅黑"/>
          <w:color w:val="auto"/>
          <w:spacing w:val="-7"/>
          <w:sz w:val="24"/>
          <w:szCs w:val="24"/>
          <w:highlight w:val="none"/>
        </w:rPr>
        <w:t>责任险等补充</w:t>
      </w:r>
      <w:r>
        <w:rPr>
          <w:rFonts w:ascii="微软雅黑" w:hAnsi="微软雅黑" w:eastAsia="微软雅黑" w:cs="微软雅黑"/>
          <w:color w:val="auto"/>
          <w:spacing w:val="-9"/>
          <w:sz w:val="24"/>
          <w:szCs w:val="24"/>
          <w:highlight w:val="none"/>
        </w:rPr>
        <w:t>险种；</w:t>
      </w:r>
      <w:r>
        <w:rPr>
          <w:rFonts w:hint="eastAsia" w:ascii="微软雅黑" w:hAnsi="微软雅黑" w:eastAsia="微软雅黑" w:cs="微软雅黑"/>
          <w:color w:val="auto"/>
          <w:spacing w:val="-9"/>
          <w:sz w:val="24"/>
          <w:szCs w:val="24"/>
          <w:highlight w:val="none"/>
        </w:rPr>
        <w:t>职工福利费1</w:t>
      </w:r>
      <w:r>
        <w:rPr>
          <w:rFonts w:hint="eastAsia" w:ascii="微软雅黑" w:hAnsi="微软雅黑" w:eastAsia="微软雅黑" w:cs="微软雅黑"/>
          <w:color w:val="auto"/>
          <w:spacing w:val="-9"/>
          <w:sz w:val="24"/>
          <w:szCs w:val="24"/>
          <w:highlight w:val="none"/>
          <w:lang w:val="en-US" w:eastAsia="zh-CN"/>
        </w:rPr>
        <w:t>379506.61</w:t>
      </w:r>
      <w:r>
        <w:rPr>
          <w:rFonts w:hint="eastAsia" w:ascii="微软雅黑" w:hAnsi="微软雅黑" w:eastAsia="微软雅黑" w:cs="微软雅黑"/>
          <w:color w:val="auto"/>
          <w:spacing w:val="-9"/>
          <w:sz w:val="24"/>
          <w:szCs w:val="24"/>
          <w:highlight w:val="none"/>
        </w:rPr>
        <w:t>元（包含工龄、学历、夜班、倒班、话补、满勤、高温</w:t>
      </w:r>
      <w:r>
        <w:rPr>
          <w:rFonts w:hint="eastAsia" w:ascii="微软雅黑" w:hAnsi="微软雅黑" w:eastAsia="微软雅黑" w:cs="微软雅黑"/>
          <w:color w:val="auto"/>
          <w:spacing w:val="-9"/>
          <w:sz w:val="24"/>
          <w:szCs w:val="24"/>
          <w:highlight w:val="none"/>
          <w:lang w:val="en-US" w:eastAsia="zh-CN"/>
        </w:rPr>
        <w:t>等</w:t>
      </w:r>
      <w:r>
        <w:rPr>
          <w:rFonts w:hint="eastAsia" w:ascii="微软雅黑" w:hAnsi="微软雅黑" w:eastAsia="微软雅黑" w:cs="微软雅黑"/>
          <w:color w:val="auto"/>
          <w:spacing w:val="-9"/>
          <w:sz w:val="24"/>
          <w:szCs w:val="24"/>
          <w:highlight w:val="none"/>
        </w:rPr>
        <w:t>），社会保险费</w:t>
      </w:r>
      <w:r>
        <w:rPr>
          <w:rFonts w:hint="eastAsia" w:ascii="微软雅黑" w:hAnsi="微软雅黑" w:eastAsia="微软雅黑" w:cs="微软雅黑"/>
          <w:color w:val="auto"/>
          <w:spacing w:val="-9"/>
          <w:sz w:val="24"/>
          <w:szCs w:val="24"/>
          <w:highlight w:val="none"/>
          <w:lang w:val="en-US" w:eastAsia="zh-CN"/>
        </w:rPr>
        <w:t>1589995.94</w:t>
      </w:r>
      <w:r>
        <w:rPr>
          <w:rFonts w:hint="eastAsia" w:ascii="微软雅黑" w:hAnsi="微软雅黑" w:eastAsia="微软雅黑" w:cs="微软雅黑"/>
          <w:color w:val="auto"/>
          <w:spacing w:val="-9"/>
          <w:sz w:val="24"/>
          <w:szCs w:val="24"/>
          <w:highlight w:val="none"/>
        </w:rPr>
        <w:t>元，</w:t>
      </w:r>
      <w:r>
        <w:rPr>
          <w:rFonts w:hint="eastAsia" w:ascii="微软雅黑" w:hAnsi="微软雅黑" w:eastAsia="微软雅黑" w:cs="微软雅黑"/>
          <w:color w:val="auto"/>
          <w:spacing w:val="-9"/>
          <w:sz w:val="24"/>
          <w:szCs w:val="24"/>
          <w:highlight w:val="none"/>
          <w:lang w:val="en-US" w:eastAsia="zh-CN"/>
        </w:rPr>
        <w:t>其中</w:t>
      </w:r>
      <w:r>
        <w:rPr>
          <w:rFonts w:hint="eastAsia" w:ascii="微软雅黑" w:hAnsi="微软雅黑" w:eastAsia="微软雅黑" w:cs="微软雅黑"/>
          <w:color w:val="auto"/>
          <w:spacing w:val="-9"/>
          <w:sz w:val="24"/>
          <w:szCs w:val="24"/>
          <w:highlight w:val="none"/>
        </w:rPr>
        <w:t>医疗保险费</w:t>
      </w:r>
      <w:r>
        <w:rPr>
          <w:rFonts w:hint="eastAsia" w:ascii="微软雅黑" w:hAnsi="微软雅黑" w:eastAsia="微软雅黑" w:cs="微软雅黑"/>
          <w:color w:val="auto"/>
          <w:spacing w:val="-9"/>
          <w:sz w:val="24"/>
          <w:szCs w:val="24"/>
          <w:highlight w:val="none"/>
          <w:lang w:val="en-US" w:eastAsia="zh-CN"/>
        </w:rPr>
        <w:t>458830.34</w:t>
      </w:r>
      <w:r>
        <w:rPr>
          <w:rFonts w:hint="eastAsia" w:ascii="微软雅黑" w:hAnsi="微软雅黑" w:eastAsia="微软雅黑" w:cs="微软雅黑"/>
          <w:color w:val="auto"/>
          <w:spacing w:val="-9"/>
          <w:sz w:val="24"/>
          <w:szCs w:val="24"/>
          <w:highlight w:val="none"/>
        </w:rPr>
        <w:t>元，养老保险费</w:t>
      </w:r>
      <w:r>
        <w:rPr>
          <w:rFonts w:hint="eastAsia" w:ascii="微软雅黑" w:hAnsi="微软雅黑" w:eastAsia="微软雅黑" w:cs="微软雅黑"/>
          <w:color w:val="auto"/>
          <w:spacing w:val="-9"/>
          <w:sz w:val="24"/>
          <w:szCs w:val="24"/>
          <w:highlight w:val="none"/>
          <w:lang w:val="en-US" w:eastAsia="zh-CN"/>
        </w:rPr>
        <w:t>1052233.44</w:t>
      </w:r>
      <w:r>
        <w:rPr>
          <w:rFonts w:hint="eastAsia" w:ascii="微软雅黑" w:hAnsi="微软雅黑" w:eastAsia="微软雅黑" w:cs="微软雅黑"/>
          <w:color w:val="auto"/>
          <w:spacing w:val="-9"/>
          <w:sz w:val="24"/>
          <w:szCs w:val="24"/>
          <w:highlight w:val="none"/>
        </w:rPr>
        <w:t>元，工伤保险费</w:t>
      </w:r>
      <w:r>
        <w:rPr>
          <w:rFonts w:hint="eastAsia" w:ascii="微软雅黑" w:hAnsi="微软雅黑" w:eastAsia="微软雅黑" w:cs="微软雅黑"/>
          <w:color w:val="auto"/>
          <w:spacing w:val="-9"/>
          <w:sz w:val="24"/>
          <w:szCs w:val="24"/>
          <w:highlight w:val="none"/>
          <w:lang w:val="en-US" w:eastAsia="zh-CN"/>
        </w:rPr>
        <w:t>35078.4</w:t>
      </w:r>
      <w:r>
        <w:rPr>
          <w:rFonts w:hint="eastAsia" w:ascii="微软雅黑" w:hAnsi="微软雅黑" w:eastAsia="微软雅黑" w:cs="微软雅黑"/>
          <w:color w:val="auto"/>
          <w:spacing w:val="-9"/>
          <w:sz w:val="24"/>
          <w:szCs w:val="24"/>
          <w:highlight w:val="none"/>
        </w:rPr>
        <w:t>元，失业保险</w:t>
      </w:r>
      <w:r>
        <w:rPr>
          <w:rFonts w:hint="eastAsia" w:ascii="微软雅黑" w:hAnsi="微软雅黑" w:eastAsia="微软雅黑" w:cs="微软雅黑"/>
          <w:color w:val="auto"/>
          <w:spacing w:val="-9"/>
          <w:sz w:val="24"/>
          <w:szCs w:val="24"/>
          <w:highlight w:val="none"/>
          <w:lang w:val="en-US" w:eastAsia="zh-CN"/>
        </w:rPr>
        <w:t>43853.76元</w:t>
      </w:r>
      <w:r>
        <w:rPr>
          <w:rFonts w:hint="eastAsia" w:ascii="微软雅黑" w:hAnsi="微软雅黑" w:eastAsia="微软雅黑" w:cs="微软雅黑"/>
          <w:color w:val="auto"/>
          <w:spacing w:val="-9"/>
          <w:sz w:val="24"/>
          <w:szCs w:val="24"/>
          <w:highlight w:val="none"/>
        </w:rPr>
        <w:t>，住房公积金</w:t>
      </w:r>
      <w:r>
        <w:rPr>
          <w:rFonts w:hint="eastAsia" w:ascii="微软雅黑" w:hAnsi="微软雅黑" w:eastAsia="微软雅黑" w:cs="微软雅黑"/>
          <w:color w:val="auto"/>
          <w:spacing w:val="-9"/>
          <w:sz w:val="24"/>
          <w:szCs w:val="24"/>
          <w:highlight w:val="none"/>
          <w:lang w:val="en-US" w:eastAsia="zh-CN"/>
        </w:rPr>
        <w:t>205744</w:t>
      </w:r>
      <w:r>
        <w:rPr>
          <w:rFonts w:hint="eastAsia" w:ascii="微软雅黑" w:hAnsi="微软雅黑" w:eastAsia="微软雅黑" w:cs="微软雅黑"/>
          <w:color w:val="auto"/>
          <w:spacing w:val="-9"/>
          <w:sz w:val="24"/>
          <w:szCs w:val="24"/>
          <w:highlight w:val="none"/>
        </w:rPr>
        <w:t>元</w:t>
      </w:r>
      <w:r>
        <w:rPr>
          <w:rFonts w:hint="eastAsia" w:ascii="微软雅黑" w:hAnsi="微软雅黑" w:eastAsia="微软雅黑" w:cs="微软雅黑"/>
          <w:color w:val="auto"/>
          <w:spacing w:val="-9"/>
          <w:sz w:val="24"/>
          <w:szCs w:val="24"/>
          <w:highlight w:val="none"/>
          <w:lang w:eastAsia="zh-CN"/>
        </w:rPr>
        <w:t>。</w:t>
      </w:r>
    </w:p>
    <w:p w14:paraId="005D39FC">
      <w:pPr>
        <w:spacing w:before="103" w:line="228" w:lineRule="auto"/>
        <w:ind w:firstLine="482"/>
        <w:jc w:val="both"/>
        <w:rPr>
          <w:rFonts w:hint="eastAsia" w:ascii="微软雅黑" w:hAnsi="微软雅黑" w:eastAsia="微软雅黑" w:cs="微软雅黑"/>
          <w:spacing w:val="-9"/>
          <w:sz w:val="24"/>
          <w:szCs w:val="24"/>
          <w:highlight w:val="none"/>
          <w:lang w:eastAsia="zh-CN"/>
        </w:rPr>
      </w:pPr>
    </w:p>
    <w:p w14:paraId="24B12B3B">
      <w:pPr>
        <w:spacing w:before="103" w:line="224" w:lineRule="auto"/>
        <w:ind w:left="1" w:right="4" w:firstLine="486"/>
        <w:jc w:val="both"/>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为鼓励和保障员工休假，我们规范休假管理，下发明确假期申请审批规定；补贴员工年度</w:t>
      </w:r>
      <w:r>
        <w:rPr>
          <w:rFonts w:ascii="微软雅黑" w:hAnsi="微软雅黑" w:eastAsia="微软雅黑" w:cs="微软雅黑"/>
          <w:spacing w:val="-3"/>
          <w:sz w:val="24"/>
          <w:szCs w:val="24"/>
          <w:highlight w:val="none"/>
        </w:rPr>
        <w:t>体检，为已婚女性增加妇科检查等项目。我们每月为在当月过生日的员工组织庆生活动，每年</w:t>
      </w:r>
      <w:r>
        <w:rPr>
          <w:rFonts w:ascii="微软雅黑" w:hAnsi="微软雅黑" w:eastAsia="微软雅黑" w:cs="微软雅黑"/>
          <w:spacing w:val="-2"/>
          <w:sz w:val="24"/>
          <w:szCs w:val="24"/>
          <w:highlight w:val="none"/>
        </w:rPr>
        <w:t>报销一次探亲假费用。每年举办评优会、节日庆典等。</w:t>
      </w:r>
    </w:p>
    <w:p w14:paraId="48C34FA1">
      <w:pPr>
        <w:spacing w:line="224" w:lineRule="auto"/>
        <w:rPr>
          <w:rFonts w:ascii="微软雅黑" w:hAnsi="微软雅黑" w:eastAsia="微软雅黑" w:cs="微软雅黑"/>
          <w:sz w:val="24"/>
          <w:szCs w:val="24"/>
          <w:highlight w:val="none"/>
        </w:rPr>
        <w:sectPr>
          <w:footerReference r:id="rId17" w:type="default"/>
          <w:pgSz w:w="11907" w:h="16839"/>
          <w:pgMar w:top="1208" w:right="1018" w:bottom="1251" w:left="1020" w:header="0" w:footer="1047" w:gutter="0"/>
          <w:pgNumType w:fmt="decimal"/>
          <w:cols w:space="720" w:num="1"/>
        </w:sectPr>
      </w:pPr>
    </w:p>
    <w:p w14:paraId="5B01EECD">
      <w:pPr>
        <w:spacing w:before="68" w:line="198" w:lineRule="auto"/>
        <w:ind w:left="10"/>
        <w:rPr>
          <w:rFonts w:ascii="微软雅黑" w:hAnsi="微软雅黑" w:eastAsia="微软雅黑" w:cs="微软雅黑"/>
          <w:sz w:val="31"/>
          <w:szCs w:val="31"/>
          <w:highlight w:val="none"/>
        </w:rPr>
      </w:pPr>
      <w:bookmarkStart w:id="30" w:name="bookmark32"/>
      <w:bookmarkEnd w:id="30"/>
      <w:bookmarkStart w:id="31" w:name="bookmark31"/>
      <w:bookmarkEnd w:id="31"/>
      <w:r>
        <w:rPr>
          <w:rFonts w:ascii="微软雅黑" w:hAnsi="微软雅黑" w:eastAsia="微软雅黑" w:cs="微软雅黑"/>
          <w:b/>
          <w:bCs/>
          <w:spacing w:val="6"/>
          <w:sz w:val="31"/>
          <w:szCs w:val="31"/>
          <w:highlight w:val="none"/>
          <w:u w:val="single" w:color="auto"/>
        </w:rPr>
        <w:t>商业道德</w:t>
      </w:r>
    </w:p>
    <w:p w14:paraId="5E46B3A0">
      <w:pPr>
        <w:pStyle w:val="3"/>
        <w:spacing w:line="295" w:lineRule="auto"/>
        <w:rPr>
          <w:highlight w:val="none"/>
        </w:rPr>
      </w:pPr>
    </w:p>
    <w:p w14:paraId="34A74AC3">
      <w:pPr>
        <w:pStyle w:val="3"/>
        <w:spacing w:line="295" w:lineRule="auto"/>
        <w:rPr>
          <w:highlight w:val="none"/>
        </w:rPr>
      </w:pPr>
    </w:p>
    <w:p w14:paraId="6DF308F3">
      <w:pPr>
        <w:spacing w:before="103" w:line="194" w:lineRule="auto"/>
        <w:ind w:left="20"/>
        <w:outlineLvl w:val="0"/>
        <w:rPr>
          <w:rFonts w:ascii="微软雅黑" w:hAnsi="微软雅黑" w:eastAsia="微软雅黑" w:cs="微软雅黑"/>
          <w:sz w:val="24"/>
          <w:szCs w:val="24"/>
          <w:highlight w:val="none"/>
        </w:rPr>
      </w:pPr>
      <w:r>
        <w:rPr>
          <w:rFonts w:ascii="微软雅黑" w:hAnsi="微软雅黑" w:eastAsia="微软雅黑" w:cs="微软雅黑"/>
          <w:b/>
          <w:bCs/>
          <w:spacing w:val="-4"/>
          <w:sz w:val="24"/>
          <w:szCs w:val="24"/>
          <w:highlight w:val="none"/>
        </w:rPr>
        <w:t>1、公司诚信</w:t>
      </w:r>
    </w:p>
    <w:p w14:paraId="2569F496">
      <w:pPr>
        <w:spacing w:before="80" w:line="224" w:lineRule="auto"/>
        <w:ind w:left="2" w:right="3" w:firstLine="479"/>
        <w:jc w:val="both"/>
        <w:rPr>
          <w:rFonts w:ascii="微软雅黑" w:hAnsi="微软雅黑" w:eastAsia="微软雅黑" w:cs="微软雅黑"/>
          <w:sz w:val="24"/>
          <w:szCs w:val="24"/>
          <w:highlight w:val="none"/>
        </w:rPr>
      </w:pPr>
      <w:r>
        <w:rPr>
          <w:rFonts w:ascii="微软雅黑" w:hAnsi="微软雅黑" w:eastAsia="微软雅黑" w:cs="微软雅黑"/>
          <w:spacing w:val="-4"/>
          <w:sz w:val="24"/>
          <w:szCs w:val="24"/>
          <w:highlight w:val="none"/>
        </w:rPr>
        <w:t>公司坚持诚信经营原则，重视相关方利益</w:t>
      </w:r>
      <w:r>
        <w:rPr>
          <w:rFonts w:hint="eastAsia" w:ascii="微软雅黑" w:hAnsi="微软雅黑" w:eastAsia="微软雅黑" w:cs="微软雅黑"/>
          <w:spacing w:val="-4"/>
          <w:sz w:val="24"/>
          <w:szCs w:val="24"/>
          <w:highlight w:val="none"/>
          <w:lang w:val="en-US" w:eastAsia="zh-CN"/>
        </w:rPr>
        <w:t xml:space="preserve"> </w:t>
      </w:r>
      <w:r>
        <w:rPr>
          <w:rFonts w:ascii="微软雅黑" w:hAnsi="微软雅黑" w:eastAsia="微软雅黑" w:cs="微软雅黑"/>
          <w:spacing w:val="-4"/>
          <w:sz w:val="24"/>
          <w:szCs w:val="24"/>
          <w:highlight w:val="none"/>
        </w:rPr>
        <w:t>。编制《</w:t>
      </w:r>
      <w:r>
        <w:rPr>
          <w:rFonts w:hint="eastAsia" w:ascii="微软雅黑" w:hAnsi="微软雅黑" w:eastAsia="微软雅黑" w:cs="微软雅黑"/>
          <w:spacing w:val="-4"/>
          <w:sz w:val="24"/>
          <w:szCs w:val="24"/>
          <w:highlight w:val="none"/>
          <w:lang w:val="en-US" w:eastAsia="zh-CN"/>
        </w:rPr>
        <w:t xml:space="preserve"> </w:t>
      </w:r>
      <w:r>
        <w:rPr>
          <w:rFonts w:ascii="微软雅黑" w:hAnsi="微软雅黑" w:eastAsia="微软雅黑" w:cs="微软雅黑"/>
          <w:spacing w:val="-4"/>
          <w:sz w:val="24"/>
          <w:szCs w:val="24"/>
          <w:highlight w:val="none"/>
        </w:rPr>
        <w:t>相关方环境和职业健康安全管理程</w:t>
      </w:r>
      <w:r>
        <w:rPr>
          <w:rFonts w:hint="eastAsia" w:ascii="微软雅黑" w:hAnsi="微软雅黑" w:eastAsia="微软雅黑" w:cs="微软雅黑"/>
          <w:spacing w:val="-4"/>
          <w:sz w:val="24"/>
          <w:szCs w:val="24"/>
          <w:highlight w:val="none"/>
          <w:lang w:val="en-US" w:eastAsia="zh-CN"/>
        </w:rPr>
        <w:t xml:space="preserve">  </w:t>
      </w:r>
      <w:r>
        <w:rPr>
          <w:rFonts w:ascii="微软雅黑" w:hAnsi="微软雅黑" w:eastAsia="微软雅黑" w:cs="微软雅黑"/>
          <w:spacing w:val="-4"/>
          <w:sz w:val="24"/>
          <w:szCs w:val="24"/>
          <w:highlight w:val="none"/>
        </w:rPr>
        <w:t>序》，</w:t>
      </w:r>
      <w:r>
        <w:rPr>
          <w:rFonts w:ascii="微软雅黑" w:hAnsi="微软雅黑" w:eastAsia="微软雅黑" w:cs="微软雅黑"/>
          <w:spacing w:val="1"/>
          <w:sz w:val="24"/>
          <w:szCs w:val="24"/>
          <w:highlight w:val="none"/>
        </w:rPr>
        <w:t>要求公司每年对公司的相关方及相关方的需</w:t>
      </w:r>
      <w:r>
        <w:rPr>
          <w:rFonts w:ascii="微软雅黑" w:hAnsi="微软雅黑" w:eastAsia="微软雅黑" w:cs="微软雅黑"/>
          <w:sz w:val="24"/>
          <w:szCs w:val="24"/>
          <w:highlight w:val="none"/>
        </w:rPr>
        <w:t>求和期望进行识别，形成《员工和相关方需求和期</w:t>
      </w:r>
      <w:r>
        <w:rPr>
          <w:rFonts w:ascii="微软雅黑" w:hAnsi="微软雅黑" w:eastAsia="微软雅黑" w:cs="微软雅黑"/>
          <w:spacing w:val="-5"/>
          <w:sz w:val="24"/>
          <w:szCs w:val="24"/>
          <w:highlight w:val="none"/>
        </w:rPr>
        <w:t>望清单》，并对其进行风险评估，作为管理层决策的依据之一。</w:t>
      </w:r>
    </w:p>
    <w:p w14:paraId="2E8B3DC1">
      <w:pPr>
        <w:spacing w:before="80" w:line="224" w:lineRule="auto"/>
        <w:ind w:left="2" w:right="3" w:firstLine="479"/>
        <w:jc w:val="both"/>
        <w:rPr>
          <w:rFonts w:ascii="微软雅黑" w:hAnsi="微软雅黑" w:eastAsia="微软雅黑" w:cs="微软雅黑"/>
          <w:spacing w:val="1"/>
          <w:sz w:val="24"/>
          <w:szCs w:val="24"/>
          <w:highlight w:val="none"/>
        </w:rPr>
      </w:pPr>
      <w:r>
        <w:rPr>
          <w:rFonts w:ascii="微软雅黑" w:hAnsi="微软雅黑" w:eastAsia="微软雅黑" w:cs="微软雅黑"/>
          <w:spacing w:val="1"/>
          <w:sz w:val="24"/>
          <w:szCs w:val="24"/>
          <w:highlight w:val="none"/>
        </w:rPr>
        <w:t>公司认为法律法规及其他要求是公司立身的根本，为此公司编制《法律法规及其他要求控制程序》、建立了合规义务及评价过程，定期收集法律法规并进行合规义务评价，确保合格经营。</w:t>
      </w:r>
    </w:p>
    <w:p w14:paraId="03C834A1">
      <w:pPr>
        <w:spacing w:before="80" w:line="224" w:lineRule="auto"/>
        <w:ind w:left="2" w:right="3" w:firstLine="479"/>
        <w:jc w:val="both"/>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公司遵循公平竞争的原则，抵制商业贿赂，确保公</w:t>
      </w:r>
      <w:r>
        <w:rPr>
          <w:rFonts w:ascii="微软雅黑" w:hAnsi="微软雅黑" w:eastAsia="微软雅黑" w:cs="微软雅黑"/>
          <w:spacing w:val="-3"/>
          <w:sz w:val="24"/>
          <w:szCs w:val="24"/>
          <w:highlight w:val="none"/>
        </w:rPr>
        <w:t>司管理人员及相关方的利益。为此各公</w:t>
      </w:r>
      <w:r>
        <w:rPr>
          <w:rFonts w:ascii="微软雅黑" w:hAnsi="微软雅黑" w:eastAsia="微软雅黑" w:cs="微软雅黑"/>
          <w:spacing w:val="-12"/>
          <w:sz w:val="24"/>
          <w:szCs w:val="24"/>
          <w:highlight w:val="none"/>
        </w:rPr>
        <w:t>司编制《廉政管理程序》，建立了廉政举报渠道，重点加强对易发生腐败的环节的监督管理力度。</w:t>
      </w:r>
    </w:p>
    <w:p w14:paraId="26B23B2D">
      <w:pPr>
        <w:pStyle w:val="3"/>
        <w:spacing w:line="388" w:lineRule="auto"/>
        <w:rPr>
          <w:highlight w:val="none"/>
        </w:rPr>
      </w:pPr>
    </w:p>
    <w:p w14:paraId="53882921">
      <w:pPr>
        <w:spacing w:before="103" w:line="194" w:lineRule="auto"/>
        <w:ind w:left="11"/>
        <w:outlineLvl w:val="0"/>
        <w:rPr>
          <w:rFonts w:ascii="微软雅黑" w:hAnsi="微软雅黑" w:eastAsia="微软雅黑" w:cs="微软雅黑"/>
          <w:sz w:val="24"/>
          <w:szCs w:val="24"/>
          <w:highlight w:val="none"/>
        </w:rPr>
      </w:pPr>
      <w:bookmarkStart w:id="32" w:name="bookmark33"/>
      <w:bookmarkEnd w:id="32"/>
      <w:r>
        <w:rPr>
          <w:rFonts w:ascii="微软雅黑" w:hAnsi="微软雅黑" w:eastAsia="微软雅黑" w:cs="微软雅黑"/>
          <w:b/>
          <w:bCs/>
          <w:spacing w:val="-2"/>
          <w:sz w:val="24"/>
          <w:szCs w:val="24"/>
          <w:highlight w:val="none"/>
        </w:rPr>
        <w:t>2、供应责任</w:t>
      </w:r>
    </w:p>
    <w:p w14:paraId="3E333A16">
      <w:pPr>
        <w:spacing w:before="74" w:line="231" w:lineRule="auto"/>
        <w:ind w:firstLine="481"/>
        <w:jc w:val="both"/>
        <w:rPr>
          <w:rFonts w:hint="eastAsia" w:ascii="微软雅黑" w:hAnsi="微软雅黑" w:eastAsia="微软雅黑" w:cs="微软雅黑"/>
          <w:spacing w:val="-2"/>
          <w:sz w:val="24"/>
          <w:szCs w:val="24"/>
          <w:highlight w:val="none"/>
          <w:lang w:eastAsia="zh-CN"/>
        </w:rPr>
      </w:pPr>
      <w:r>
        <w:rPr>
          <w:rFonts w:ascii="微软雅黑" w:hAnsi="微软雅黑" w:eastAsia="微软雅黑" w:cs="微软雅黑"/>
          <w:sz w:val="24"/>
          <w:szCs w:val="24"/>
          <w:highlight w:val="none"/>
        </w:rPr>
        <w:t>公司致力于维持与供方互利的合作关系，打造负责任的供应链。将诚信经营和担当社会责</w:t>
      </w:r>
      <w:r>
        <w:rPr>
          <w:rFonts w:ascii="微软雅黑" w:hAnsi="微软雅黑" w:eastAsia="微软雅黑" w:cs="微软雅黑"/>
          <w:spacing w:val="-4"/>
          <w:sz w:val="24"/>
          <w:szCs w:val="24"/>
          <w:highlight w:val="none"/>
        </w:rPr>
        <w:t>任的理念融入到供应链的管理中。公司编制了《供应商(承包商、服务商)实施ASI管理程</w:t>
      </w:r>
      <w:r>
        <w:rPr>
          <w:rFonts w:hint="eastAsia" w:ascii="微软雅黑" w:hAnsi="微软雅黑" w:eastAsia="微软雅黑" w:cs="微软雅黑"/>
          <w:spacing w:val="-4"/>
          <w:sz w:val="24"/>
          <w:szCs w:val="24"/>
          <w:highlight w:val="none"/>
          <w:lang w:val="en-US" w:eastAsia="zh-CN"/>
        </w:rPr>
        <w:t xml:space="preserve">   </w:t>
      </w:r>
      <w:r>
        <w:rPr>
          <w:rFonts w:ascii="微软雅黑" w:hAnsi="微软雅黑" w:eastAsia="微软雅黑" w:cs="微软雅黑"/>
          <w:spacing w:val="-4"/>
          <w:sz w:val="24"/>
          <w:szCs w:val="24"/>
          <w:highlight w:val="none"/>
        </w:rPr>
        <w:t>序》，</w:t>
      </w:r>
      <w:r>
        <w:rPr>
          <w:rFonts w:ascii="微软雅黑" w:hAnsi="微软雅黑" w:eastAsia="微软雅黑" w:cs="微软雅黑"/>
          <w:spacing w:val="1"/>
          <w:sz w:val="24"/>
          <w:szCs w:val="24"/>
          <w:highlight w:val="none"/>
        </w:rPr>
        <w:t>要求将公司负责任的采购方针传达给供应商，在</w:t>
      </w:r>
      <w:r>
        <w:rPr>
          <w:rFonts w:ascii="微软雅黑" w:hAnsi="微软雅黑" w:eastAsia="微软雅黑" w:cs="微软雅黑"/>
          <w:sz w:val="24"/>
          <w:szCs w:val="24"/>
          <w:highlight w:val="none"/>
        </w:rPr>
        <w:t>供应商选择时从质量控制、服务水</w:t>
      </w:r>
      <w:r>
        <w:rPr>
          <w:rFonts w:hint="eastAsia" w:ascii="微软雅黑" w:hAnsi="微软雅黑" w:eastAsia="微软雅黑" w:cs="微软雅黑"/>
          <w:sz w:val="24"/>
          <w:szCs w:val="24"/>
          <w:highlight w:val="none"/>
          <w:lang w:val="en-US" w:eastAsia="zh-CN"/>
        </w:rPr>
        <w:t xml:space="preserve">  </w:t>
      </w:r>
      <w:r>
        <w:rPr>
          <w:rFonts w:ascii="微软雅黑" w:hAnsi="微软雅黑" w:eastAsia="微软雅黑" w:cs="微软雅黑"/>
          <w:sz w:val="24"/>
          <w:szCs w:val="24"/>
          <w:highlight w:val="none"/>
        </w:rPr>
        <w:t>平、履约能</w:t>
      </w:r>
      <w:r>
        <w:rPr>
          <w:rFonts w:ascii="微软雅黑" w:hAnsi="微软雅黑" w:eastAsia="微软雅黑" w:cs="微软雅黑"/>
          <w:spacing w:val="-6"/>
          <w:sz w:val="24"/>
          <w:szCs w:val="24"/>
          <w:highlight w:val="none"/>
        </w:rPr>
        <w:t>力、劳工人权、职业健康与安全、环境保护、银行信用等级等多</w:t>
      </w:r>
      <w:r>
        <w:rPr>
          <w:rFonts w:ascii="微软雅黑" w:hAnsi="微软雅黑" w:eastAsia="微软雅黑" w:cs="微软雅黑"/>
          <w:spacing w:val="-7"/>
          <w:sz w:val="24"/>
          <w:szCs w:val="24"/>
          <w:highlight w:val="none"/>
        </w:rPr>
        <w:t>个维度评估、甄选和定期评价、</w:t>
      </w:r>
      <w:r>
        <w:rPr>
          <w:rFonts w:ascii="微软雅黑" w:hAnsi="微软雅黑" w:eastAsia="微软雅黑" w:cs="微软雅黑"/>
          <w:spacing w:val="-2"/>
          <w:sz w:val="24"/>
          <w:szCs w:val="24"/>
          <w:highlight w:val="none"/>
        </w:rPr>
        <w:t>梳理优质供应商，实施责</w:t>
      </w:r>
      <w:bookmarkStart w:id="35" w:name="_GoBack"/>
      <w:bookmarkEnd w:id="35"/>
      <w:r>
        <w:rPr>
          <w:rFonts w:ascii="微软雅黑" w:hAnsi="微软雅黑" w:eastAsia="微软雅黑" w:cs="微软雅黑"/>
          <w:spacing w:val="-2"/>
          <w:sz w:val="24"/>
          <w:szCs w:val="24"/>
          <w:highlight w:val="none"/>
        </w:rPr>
        <w:t>任采购，推动供应链伙伴履行社会责任</w:t>
      </w:r>
      <w:r>
        <w:rPr>
          <w:rFonts w:hint="eastAsia" w:ascii="微软雅黑" w:hAnsi="微软雅黑" w:eastAsia="微软雅黑" w:cs="微软雅黑"/>
          <w:spacing w:val="-2"/>
          <w:sz w:val="24"/>
          <w:szCs w:val="24"/>
          <w:highlight w:val="none"/>
          <w:lang w:eastAsia="zh-CN"/>
        </w:rPr>
        <w:t>；对7家供应商做了尽职调查，调查审核结果</w:t>
      </w:r>
      <w:r>
        <w:rPr>
          <w:rFonts w:hint="eastAsia" w:ascii="微软雅黑" w:hAnsi="微软雅黑" w:eastAsia="微软雅黑" w:cs="微软雅黑"/>
          <w:spacing w:val="-2"/>
          <w:sz w:val="24"/>
          <w:szCs w:val="24"/>
          <w:highlight w:val="none"/>
          <w:lang w:val="en-US" w:eastAsia="zh-CN"/>
        </w:rPr>
        <w:t>均</w:t>
      </w:r>
      <w:r>
        <w:rPr>
          <w:rFonts w:hint="eastAsia" w:ascii="微软雅黑" w:hAnsi="微软雅黑" w:eastAsia="微软雅黑" w:cs="微软雅黑"/>
          <w:spacing w:val="-2"/>
          <w:sz w:val="24"/>
          <w:szCs w:val="24"/>
          <w:highlight w:val="none"/>
          <w:lang w:eastAsia="zh-CN"/>
        </w:rPr>
        <w:t>符合要求，供应商/承包商/服务商</w:t>
      </w:r>
      <w:r>
        <w:rPr>
          <w:rFonts w:hint="eastAsia" w:ascii="微软雅黑" w:hAnsi="微软雅黑" w:eastAsia="微软雅黑" w:cs="微软雅黑"/>
          <w:spacing w:val="-2"/>
          <w:sz w:val="24"/>
          <w:szCs w:val="24"/>
          <w:highlight w:val="none"/>
          <w:lang w:val="en-US" w:eastAsia="zh-CN"/>
        </w:rPr>
        <w:t>未发现</w:t>
      </w:r>
      <w:r>
        <w:rPr>
          <w:rFonts w:hint="eastAsia" w:ascii="微软雅黑" w:hAnsi="微软雅黑" w:eastAsia="微软雅黑" w:cs="微软雅黑"/>
          <w:spacing w:val="-2"/>
          <w:sz w:val="24"/>
          <w:szCs w:val="24"/>
          <w:highlight w:val="none"/>
          <w:lang w:eastAsia="zh-CN"/>
        </w:rPr>
        <w:t>使用童工、强迫劳动或其他严重违反劳动法规定的现象。</w:t>
      </w:r>
    </w:p>
    <w:p w14:paraId="7CA09684">
      <w:pPr>
        <w:spacing w:before="83" w:line="225" w:lineRule="auto"/>
        <w:ind w:left="3" w:right="74" w:firstLine="478"/>
        <w:jc w:val="both"/>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公司每年从合格供应商名录中抽取部分供应商进行现场审核。确保其在质量控制、服务水平、履约能力、劳工人权、职业健康与安全、环境保护、银行信用等级等方面能够满足公司要</w:t>
      </w:r>
      <w:r>
        <w:rPr>
          <w:rFonts w:ascii="微软雅黑" w:hAnsi="微软雅黑" w:eastAsia="微软雅黑" w:cs="微软雅黑"/>
          <w:spacing w:val="-13"/>
          <w:sz w:val="24"/>
          <w:szCs w:val="24"/>
          <w:highlight w:val="none"/>
        </w:rPr>
        <w:t>求。</w:t>
      </w:r>
    </w:p>
    <w:p w14:paraId="5E09D06C">
      <w:pPr>
        <w:pStyle w:val="3"/>
        <w:spacing w:line="381" w:lineRule="auto"/>
        <w:rPr>
          <w:highlight w:val="none"/>
        </w:rPr>
      </w:pPr>
    </w:p>
    <w:p w14:paraId="60B97BAD">
      <w:pPr>
        <w:spacing w:before="103" w:line="194" w:lineRule="auto"/>
        <w:ind w:left="17"/>
        <w:outlineLvl w:val="0"/>
        <w:rPr>
          <w:rFonts w:ascii="微软雅黑" w:hAnsi="微软雅黑" w:eastAsia="微软雅黑" w:cs="微软雅黑"/>
          <w:sz w:val="24"/>
          <w:szCs w:val="24"/>
          <w:highlight w:val="none"/>
        </w:rPr>
      </w:pPr>
      <w:bookmarkStart w:id="33" w:name="bookmark34"/>
      <w:bookmarkEnd w:id="33"/>
      <w:r>
        <w:rPr>
          <w:rFonts w:ascii="微软雅黑" w:hAnsi="微软雅黑" w:eastAsia="微软雅黑" w:cs="微软雅黑"/>
          <w:b/>
          <w:bCs/>
          <w:spacing w:val="-2"/>
          <w:sz w:val="24"/>
          <w:szCs w:val="24"/>
          <w:highlight w:val="none"/>
        </w:rPr>
        <w:t>3、利益相关方沟通</w:t>
      </w:r>
    </w:p>
    <w:p w14:paraId="4D267AB8">
      <w:pPr>
        <w:spacing w:before="79" w:line="219" w:lineRule="auto"/>
        <w:ind w:left="1" w:right="76" w:firstLine="479"/>
        <w:jc w:val="both"/>
        <w:rPr>
          <w:rFonts w:ascii="微软雅黑" w:hAnsi="微软雅黑" w:eastAsia="微软雅黑" w:cs="微软雅黑"/>
          <w:spacing w:val="-3"/>
          <w:sz w:val="24"/>
          <w:szCs w:val="24"/>
          <w:highlight w:val="none"/>
        </w:rPr>
      </w:pPr>
      <w:r>
        <w:rPr>
          <w:rFonts w:ascii="微软雅黑" w:hAnsi="微软雅黑" w:eastAsia="微软雅黑" w:cs="微软雅黑"/>
          <w:sz w:val="24"/>
          <w:szCs w:val="24"/>
          <w:highlight w:val="none"/>
        </w:rPr>
        <w:t>利益相关方是公司可持续发展的重要组成部分</w:t>
      </w:r>
      <w:r>
        <w:rPr>
          <w:rFonts w:hint="eastAsia" w:ascii="微软雅黑" w:hAnsi="微软雅黑" w:eastAsia="微软雅黑" w:cs="微软雅黑"/>
          <w:sz w:val="24"/>
          <w:szCs w:val="24"/>
          <w:highlight w:val="none"/>
          <w:lang w:val="en-US" w:eastAsia="zh-CN"/>
        </w:rPr>
        <w:t>，</w:t>
      </w:r>
      <w:r>
        <w:rPr>
          <w:rFonts w:ascii="微软雅黑" w:hAnsi="微软雅黑" w:eastAsia="微软雅黑" w:cs="微软雅黑"/>
          <w:sz w:val="24"/>
          <w:szCs w:val="24"/>
          <w:highlight w:val="none"/>
        </w:rPr>
        <w:t>加强与利益相关方的沟通和参与管</w:t>
      </w:r>
      <w:r>
        <w:rPr>
          <w:rFonts w:hint="eastAsia" w:ascii="微软雅黑" w:hAnsi="微软雅黑" w:eastAsia="微软雅黑" w:cs="微软雅黑"/>
          <w:sz w:val="24"/>
          <w:szCs w:val="24"/>
          <w:highlight w:val="none"/>
          <w:lang w:val="en-US" w:eastAsia="zh-CN"/>
        </w:rPr>
        <w:t xml:space="preserve">    </w:t>
      </w:r>
      <w:r>
        <w:rPr>
          <w:rFonts w:ascii="微软雅黑" w:hAnsi="微软雅黑" w:eastAsia="微软雅黑" w:cs="微软雅黑"/>
          <w:sz w:val="24"/>
          <w:szCs w:val="24"/>
          <w:highlight w:val="none"/>
        </w:rPr>
        <w:t>理，创</w:t>
      </w:r>
      <w:r>
        <w:rPr>
          <w:rFonts w:ascii="微软雅黑" w:hAnsi="微软雅黑" w:eastAsia="微软雅黑" w:cs="微软雅黑"/>
          <w:spacing w:val="-1"/>
          <w:sz w:val="24"/>
          <w:szCs w:val="24"/>
          <w:highlight w:val="none"/>
        </w:rPr>
        <w:t>新利益相关方沟通和互动模式，保证利益相关方的知情权、参与权和监督权，实现透明运营，</w:t>
      </w:r>
      <w:r>
        <w:rPr>
          <w:rFonts w:ascii="微软雅黑" w:hAnsi="微软雅黑" w:eastAsia="微软雅黑" w:cs="微软雅黑"/>
          <w:spacing w:val="-3"/>
          <w:sz w:val="24"/>
          <w:szCs w:val="24"/>
          <w:highlight w:val="none"/>
        </w:rPr>
        <w:t>赢得利益相关方的理解、信任和支持。</w:t>
      </w:r>
    </w:p>
    <w:p w14:paraId="494C2C06">
      <w:pPr>
        <w:spacing w:before="79" w:line="219" w:lineRule="auto"/>
        <w:ind w:left="1" w:right="76" w:firstLine="479"/>
        <w:jc w:val="both"/>
        <w:rPr>
          <w:rFonts w:ascii="微软雅黑" w:hAnsi="微软雅黑" w:eastAsia="微软雅黑" w:cs="微软雅黑"/>
          <w:spacing w:val="-3"/>
          <w:sz w:val="24"/>
          <w:szCs w:val="24"/>
          <w:highlight w:val="none"/>
        </w:rPr>
      </w:pPr>
    </w:p>
    <w:p w14:paraId="7C40F66D">
      <w:pPr>
        <w:spacing w:before="103" w:line="194" w:lineRule="auto"/>
        <w:ind w:left="17"/>
        <w:outlineLvl w:val="0"/>
        <w:rPr>
          <w:rFonts w:hint="default" w:ascii="微软雅黑" w:hAnsi="微软雅黑" w:eastAsia="微软雅黑" w:cs="微软雅黑"/>
          <w:b/>
          <w:bCs/>
          <w:spacing w:val="-2"/>
          <w:sz w:val="24"/>
          <w:szCs w:val="24"/>
          <w:highlight w:val="none"/>
          <w:lang w:val="en-US" w:eastAsia="zh-CN"/>
        </w:rPr>
      </w:pPr>
      <w:r>
        <w:rPr>
          <w:rFonts w:hint="eastAsia" w:ascii="微软雅黑" w:hAnsi="微软雅黑" w:eastAsia="微软雅黑" w:cs="微软雅黑"/>
          <w:b/>
          <w:bCs/>
          <w:spacing w:val="-2"/>
          <w:sz w:val="24"/>
          <w:szCs w:val="24"/>
          <w:highlight w:val="none"/>
          <w:lang w:val="en-US" w:eastAsia="zh-CN"/>
        </w:rPr>
        <w:t>4、给政府的付款</w:t>
      </w:r>
    </w:p>
    <w:p w14:paraId="70B542D3">
      <w:pPr>
        <w:spacing w:before="103" w:line="194" w:lineRule="auto"/>
        <w:ind w:left="17"/>
        <w:outlineLvl w:val="0"/>
        <w:rPr>
          <w:rFonts w:hint="default" w:ascii="微软雅黑" w:hAnsi="微软雅黑" w:eastAsia="微软雅黑" w:cs="微软雅黑"/>
          <w:sz w:val="24"/>
          <w:szCs w:val="24"/>
          <w:highlight w:val="none"/>
          <w:lang w:val="en-US" w:eastAsia="zh-CN"/>
        </w:rPr>
      </w:pPr>
      <w:r>
        <w:rPr>
          <w:rFonts w:hint="eastAsia" w:ascii="微软雅黑" w:hAnsi="微软雅黑" w:eastAsia="微软雅黑" w:cs="微软雅黑"/>
          <w:b/>
          <w:bCs/>
          <w:spacing w:val="-2"/>
          <w:sz w:val="24"/>
          <w:szCs w:val="24"/>
          <w:highlight w:val="none"/>
          <w:lang w:val="en-US" w:eastAsia="zh-CN"/>
        </w:rPr>
        <w:t xml:space="preserve">     </w:t>
      </w:r>
      <w:r>
        <w:rPr>
          <w:rFonts w:hint="eastAsia" w:ascii="微软雅黑" w:hAnsi="微软雅黑" w:eastAsia="微软雅黑" w:cs="微软雅黑"/>
          <w:sz w:val="24"/>
          <w:szCs w:val="24"/>
          <w:highlight w:val="none"/>
          <w:lang w:val="en-US" w:eastAsia="zh-CN"/>
        </w:rPr>
        <w:t>安徽美信铝业有限公司自2023年6月1号至2023年12月31日，共缴纳增值税8526071.15元，城市维护建设税213151.77元，教育费附加127891.07元，地方教育附加85260.71元，</w:t>
      </w:r>
    </w:p>
    <w:p w14:paraId="1AF016A6">
      <w:pPr>
        <w:spacing w:before="79" w:line="219" w:lineRule="auto"/>
        <w:ind w:left="1" w:right="76" w:firstLine="479"/>
        <w:jc w:val="both"/>
        <w:rPr>
          <w:rFonts w:ascii="微软雅黑" w:hAnsi="微软雅黑" w:eastAsia="微软雅黑" w:cs="微软雅黑"/>
          <w:spacing w:val="-3"/>
          <w:sz w:val="24"/>
          <w:szCs w:val="24"/>
          <w:highlight w:val="none"/>
        </w:rPr>
      </w:pPr>
    </w:p>
    <w:p w14:paraId="5C1C5DD5">
      <w:pPr>
        <w:spacing w:before="79" w:line="219" w:lineRule="auto"/>
        <w:ind w:left="1" w:right="76" w:firstLine="479"/>
        <w:jc w:val="both"/>
        <w:rPr>
          <w:rFonts w:ascii="微软雅黑" w:hAnsi="微软雅黑" w:eastAsia="微软雅黑" w:cs="微软雅黑"/>
          <w:spacing w:val="-3"/>
          <w:sz w:val="24"/>
          <w:szCs w:val="24"/>
          <w:highlight w:val="none"/>
        </w:rPr>
      </w:pPr>
    </w:p>
    <w:p w14:paraId="6767AC80">
      <w:pPr>
        <w:spacing w:before="79" w:line="219" w:lineRule="auto"/>
        <w:ind w:left="1" w:right="76" w:firstLine="479"/>
        <w:jc w:val="both"/>
        <w:rPr>
          <w:rFonts w:ascii="微软雅黑" w:hAnsi="微软雅黑" w:eastAsia="微软雅黑" w:cs="微软雅黑"/>
          <w:spacing w:val="-3"/>
          <w:sz w:val="24"/>
          <w:szCs w:val="24"/>
          <w:highlight w:val="none"/>
        </w:rPr>
      </w:pPr>
    </w:p>
    <w:p w14:paraId="0C6D7CFD">
      <w:pPr>
        <w:spacing w:before="79" w:line="219" w:lineRule="auto"/>
        <w:ind w:left="1" w:right="76" w:firstLine="479"/>
        <w:jc w:val="both"/>
        <w:rPr>
          <w:rFonts w:ascii="微软雅黑" w:hAnsi="微软雅黑" w:eastAsia="微软雅黑" w:cs="微软雅黑"/>
          <w:spacing w:val="-3"/>
          <w:sz w:val="24"/>
          <w:szCs w:val="24"/>
          <w:highlight w:val="none"/>
        </w:rPr>
      </w:pPr>
    </w:p>
    <w:tbl>
      <w:tblPr>
        <w:tblStyle w:val="9"/>
        <w:tblpPr w:leftFromText="180" w:rightFromText="180" w:vertAnchor="text" w:horzAnchor="page" w:tblpX="1376" w:tblpY="-8"/>
        <w:tblOverlap w:val="never"/>
        <w:tblW w:w="93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45"/>
        <w:gridCol w:w="2832"/>
        <w:gridCol w:w="4683"/>
      </w:tblGrid>
      <w:tr w14:paraId="52D4C7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9360" w:type="dxa"/>
            <w:gridSpan w:val="3"/>
            <w:shd w:val="clear" w:color="auto" w:fill="FFFF00"/>
            <w:vAlign w:val="top"/>
          </w:tcPr>
          <w:p w14:paraId="0A719160">
            <w:pPr>
              <w:pStyle w:val="10"/>
              <w:spacing w:before="111" w:line="175" w:lineRule="auto"/>
              <w:ind w:left="3147"/>
              <w:rPr>
                <w:highlight w:val="none"/>
              </w:rPr>
            </w:pPr>
            <w:r>
              <w:rPr>
                <w:spacing w:val="-1"/>
                <w:highlight w:val="none"/>
              </w:rPr>
              <w:t>主要利益相关方沟通内容、方式</w:t>
            </w:r>
          </w:p>
        </w:tc>
      </w:tr>
      <w:tr w14:paraId="725D9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845" w:type="dxa"/>
            <w:vAlign w:val="top"/>
          </w:tcPr>
          <w:p w14:paraId="4062A702">
            <w:pPr>
              <w:pStyle w:val="10"/>
              <w:spacing w:before="108" w:line="174" w:lineRule="auto"/>
              <w:ind w:left="326"/>
              <w:rPr>
                <w:highlight w:val="none"/>
              </w:rPr>
            </w:pPr>
            <w:r>
              <w:rPr>
                <w:spacing w:val="-1"/>
                <w:highlight w:val="none"/>
              </w:rPr>
              <w:t>利益相关方</w:t>
            </w:r>
          </w:p>
        </w:tc>
        <w:tc>
          <w:tcPr>
            <w:tcW w:w="2832" w:type="dxa"/>
            <w:vAlign w:val="top"/>
          </w:tcPr>
          <w:p w14:paraId="7BE73367">
            <w:pPr>
              <w:pStyle w:val="10"/>
              <w:spacing w:before="108" w:line="174" w:lineRule="auto"/>
              <w:ind w:left="938"/>
              <w:rPr>
                <w:highlight w:val="none"/>
              </w:rPr>
            </w:pPr>
            <w:r>
              <w:rPr>
                <w:spacing w:val="-1"/>
                <w:highlight w:val="none"/>
              </w:rPr>
              <w:t>沟通内容</w:t>
            </w:r>
          </w:p>
        </w:tc>
        <w:tc>
          <w:tcPr>
            <w:tcW w:w="4683" w:type="dxa"/>
            <w:vAlign w:val="top"/>
          </w:tcPr>
          <w:p w14:paraId="1BA6A543">
            <w:pPr>
              <w:pStyle w:val="10"/>
              <w:spacing w:before="108" w:line="174" w:lineRule="auto"/>
              <w:ind w:left="1763"/>
              <w:rPr>
                <w:highlight w:val="none"/>
              </w:rPr>
            </w:pPr>
            <w:r>
              <w:rPr>
                <w:spacing w:val="-1"/>
                <w:highlight w:val="none"/>
              </w:rPr>
              <w:t>主要沟通方式</w:t>
            </w:r>
          </w:p>
        </w:tc>
      </w:tr>
      <w:tr w14:paraId="415509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845" w:type="dxa"/>
            <w:vMerge w:val="restart"/>
            <w:tcBorders>
              <w:bottom w:val="nil"/>
            </w:tcBorders>
            <w:vAlign w:val="top"/>
          </w:tcPr>
          <w:p w14:paraId="12DF82F7">
            <w:pPr>
              <w:spacing w:line="422" w:lineRule="auto"/>
              <w:rPr>
                <w:rFonts w:ascii="Arial"/>
                <w:sz w:val="21"/>
                <w:highlight w:val="none"/>
              </w:rPr>
            </w:pPr>
          </w:p>
          <w:p w14:paraId="6A86134D">
            <w:pPr>
              <w:pStyle w:val="10"/>
              <w:spacing w:before="103" w:line="194" w:lineRule="auto"/>
              <w:ind w:left="684"/>
              <w:rPr>
                <w:highlight w:val="none"/>
              </w:rPr>
            </w:pPr>
            <w:r>
              <w:rPr>
                <w:spacing w:val="-1"/>
                <w:highlight w:val="none"/>
              </w:rPr>
              <w:t>客户</w:t>
            </w:r>
          </w:p>
        </w:tc>
        <w:tc>
          <w:tcPr>
            <w:tcW w:w="2832" w:type="dxa"/>
            <w:vAlign w:val="top"/>
          </w:tcPr>
          <w:p w14:paraId="0E2CB540">
            <w:pPr>
              <w:pStyle w:val="10"/>
              <w:spacing w:before="108" w:line="174" w:lineRule="auto"/>
              <w:ind w:left="109"/>
              <w:rPr>
                <w:highlight w:val="none"/>
              </w:rPr>
            </w:pPr>
            <w:r>
              <w:rPr>
                <w:spacing w:val="-1"/>
                <w:highlight w:val="none"/>
              </w:rPr>
              <w:t>合规经营</w:t>
            </w:r>
          </w:p>
        </w:tc>
        <w:tc>
          <w:tcPr>
            <w:tcW w:w="4683" w:type="dxa"/>
            <w:vAlign w:val="top"/>
          </w:tcPr>
          <w:p w14:paraId="63EFABF2">
            <w:pPr>
              <w:pStyle w:val="10"/>
              <w:spacing w:before="108" w:line="174" w:lineRule="auto"/>
              <w:ind w:left="142"/>
              <w:rPr>
                <w:highlight w:val="none"/>
              </w:rPr>
            </w:pPr>
            <w:r>
              <w:rPr>
                <w:spacing w:val="-6"/>
                <w:highlight w:val="none"/>
              </w:rPr>
              <w:t>日常沟通回访</w:t>
            </w:r>
          </w:p>
        </w:tc>
      </w:tr>
      <w:tr w14:paraId="1F9D9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845" w:type="dxa"/>
            <w:vMerge w:val="continue"/>
            <w:tcBorders>
              <w:top w:val="nil"/>
              <w:bottom w:val="nil"/>
            </w:tcBorders>
            <w:vAlign w:val="top"/>
          </w:tcPr>
          <w:p w14:paraId="3B9C2920">
            <w:pPr>
              <w:rPr>
                <w:rFonts w:ascii="Arial"/>
                <w:sz w:val="21"/>
                <w:highlight w:val="none"/>
              </w:rPr>
            </w:pPr>
          </w:p>
        </w:tc>
        <w:tc>
          <w:tcPr>
            <w:tcW w:w="2832" w:type="dxa"/>
            <w:vAlign w:val="top"/>
          </w:tcPr>
          <w:p w14:paraId="7C41B084">
            <w:pPr>
              <w:pStyle w:val="10"/>
              <w:spacing w:before="107" w:line="173" w:lineRule="auto"/>
              <w:ind w:left="107"/>
              <w:rPr>
                <w:highlight w:val="none"/>
              </w:rPr>
            </w:pPr>
            <w:r>
              <w:rPr>
                <w:spacing w:val="-1"/>
                <w:highlight w:val="none"/>
              </w:rPr>
              <w:t>客户需求</w:t>
            </w:r>
          </w:p>
        </w:tc>
        <w:tc>
          <w:tcPr>
            <w:tcW w:w="4683" w:type="dxa"/>
            <w:vAlign w:val="top"/>
          </w:tcPr>
          <w:p w14:paraId="477B0032">
            <w:pPr>
              <w:pStyle w:val="10"/>
              <w:spacing w:before="107" w:line="173" w:lineRule="auto"/>
              <w:ind w:left="107"/>
              <w:rPr>
                <w:highlight w:val="none"/>
              </w:rPr>
            </w:pPr>
            <w:r>
              <w:rPr>
                <w:spacing w:val="-1"/>
                <w:highlight w:val="none"/>
              </w:rPr>
              <w:t>客户满意度调查</w:t>
            </w:r>
          </w:p>
        </w:tc>
      </w:tr>
      <w:tr w14:paraId="3054C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845" w:type="dxa"/>
            <w:vMerge w:val="continue"/>
            <w:tcBorders>
              <w:top w:val="nil"/>
            </w:tcBorders>
            <w:vAlign w:val="top"/>
          </w:tcPr>
          <w:p w14:paraId="38021C36">
            <w:pPr>
              <w:rPr>
                <w:rFonts w:ascii="Arial"/>
                <w:sz w:val="21"/>
                <w:highlight w:val="none"/>
              </w:rPr>
            </w:pPr>
          </w:p>
        </w:tc>
        <w:tc>
          <w:tcPr>
            <w:tcW w:w="2832" w:type="dxa"/>
            <w:vAlign w:val="top"/>
          </w:tcPr>
          <w:p w14:paraId="1B73367B">
            <w:pPr>
              <w:pStyle w:val="10"/>
              <w:spacing w:before="110" w:line="173" w:lineRule="auto"/>
              <w:ind w:left="109"/>
              <w:rPr>
                <w:highlight w:val="none"/>
              </w:rPr>
            </w:pPr>
            <w:r>
              <w:rPr>
                <w:spacing w:val="-1"/>
                <w:highlight w:val="none"/>
              </w:rPr>
              <w:t>消费者权益</w:t>
            </w:r>
          </w:p>
        </w:tc>
        <w:tc>
          <w:tcPr>
            <w:tcW w:w="4683" w:type="dxa"/>
            <w:vAlign w:val="top"/>
          </w:tcPr>
          <w:p w14:paraId="78AFB8D9">
            <w:pPr>
              <w:pStyle w:val="10"/>
              <w:spacing w:before="110" w:line="173" w:lineRule="auto"/>
              <w:ind w:left="107"/>
              <w:rPr>
                <w:highlight w:val="none"/>
              </w:rPr>
            </w:pPr>
            <w:r>
              <w:rPr>
                <w:spacing w:val="-1"/>
                <w:highlight w:val="none"/>
              </w:rPr>
              <w:t>客户服务热线；客户品质会议</w:t>
            </w:r>
          </w:p>
        </w:tc>
      </w:tr>
      <w:tr w14:paraId="79C909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845" w:type="dxa"/>
            <w:vMerge w:val="restart"/>
            <w:tcBorders>
              <w:bottom w:val="nil"/>
            </w:tcBorders>
            <w:vAlign w:val="top"/>
          </w:tcPr>
          <w:p w14:paraId="6FE34E1F">
            <w:pPr>
              <w:spacing w:line="424" w:lineRule="auto"/>
              <w:rPr>
                <w:rFonts w:ascii="Arial"/>
                <w:sz w:val="21"/>
                <w:highlight w:val="none"/>
              </w:rPr>
            </w:pPr>
          </w:p>
          <w:p w14:paraId="3DC00A0E">
            <w:pPr>
              <w:pStyle w:val="10"/>
              <w:spacing w:before="103" w:line="194" w:lineRule="auto"/>
              <w:ind w:left="567"/>
              <w:rPr>
                <w:highlight w:val="none"/>
              </w:rPr>
            </w:pPr>
            <w:r>
              <w:rPr>
                <w:spacing w:val="-1"/>
                <w:highlight w:val="none"/>
              </w:rPr>
              <w:t>投资者</w:t>
            </w:r>
          </w:p>
        </w:tc>
        <w:tc>
          <w:tcPr>
            <w:tcW w:w="2832" w:type="dxa"/>
            <w:vAlign w:val="top"/>
          </w:tcPr>
          <w:p w14:paraId="23EC8991">
            <w:pPr>
              <w:pStyle w:val="10"/>
              <w:spacing w:before="110" w:line="173" w:lineRule="auto"/>
              <w:ind w:left="109"/>
              <w:rPr>
                <w:highlight w:val="none"/>
              </w:rPr>
            </w:pPr>
            <w:r>
              <w:rPr>
                <w:spacing w:val="-1"/>
                <w:highlight w:val="none"/>
              </w:rPr>
              <w:t>公司运营状况</w:t>
            </w:r>
          </w:p>
        </w:tc>
        <w:tc>
          <w:tcPr>
            <w:tcW w:w="4683" w:type="dxa"/>
            <w:vAlign w:val="top"/>
          </w:tcPr>
          <w:p w14:paraId="06A91C3D">
            <w:pPr>
              <w:pStyle w:val="10"/>
              <w:spacing w:before="110" w:line="173" w:lineRule="auto"/>
              <w:ind w:left="110"/>
              <w:rPr>
                <w:highlight w:val="none"/>
              </w:rPr>
            </w:pPr>
            <w:r>
              <w:rPr>
                <w:spacing w:val="-1"/>
                <w:highlight w:val="none"/>
              </w:rPr>
              <w:t>服务热线；业绩说明会</w:t>
            </w:r>
          </w:p>
        </w:tc>
      </w:tr>
      <w:tr w14:paraId="52B44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845" w:type="dxa"/>
            <w:vMerge w:val="continue"/>
            <w:tcBorders>
              <w:top w:val="nil"/>
              <w:bottom w:val="nil"/>
            </w:tcBorders>
            <w:vAlign w:val="top"/>
          </w:tcPr>
          <w:p w14:paraId="6D4EF484">
            <w:pPr>
              <w:rPr>
                <w:rFonts w:ascii="Arial"/>
                <w:sz w:val="21"/>
                <w:highlight w:val="none"/>
              </w:rPr>
            </w:pPr>
          </w:p>
        </w:tc>
        <w:tc>
          <w:tcPr>
            <w:tcW w:w="2832" w:type="dxa"/>
            <w:vMerge w:val="restart"/>
            <w:tcBorders>
              <w:bottom w:val="nil"/>
            </w:tcBorders>
            <w:vAlign w:val="top"/>
          </w:tcPr>
          <w:p w14:paraId="0DB4E146">
            <w:pPr>
              <w:pStyle w:val="10"/>
              <w:spacing w:before="320" w:line="194" w:lineRule="auto"/>
              <w:ind w:left="110"/>
              <w:rPr>
                <w:highlight w:val="none"/>
              </w:rPr>
            </w:pPr>
            <w:r>
              <w:rPr>
                <w:spacing w:val="-1"/>
                <w:highlight w:val="none"/>
              </w:rPr>
              <w:t>行业、市场现状及趋势</w:t>
            </w:r>
          </w:p>
        </w:tc>
        <w:tc>
          <w:tcPr>
            <w:tcW w:w="4683" w:type="dxa"/>
            <w:vAlign w:val="top"/>
          </w:tcPr>
          <w:p w14:paraId="2DCA3897">
            <w:pPr>
              <w:pStyle w:val="10"/>
              <w:spacing w:before="108" w:line="172" w:lineRule="auto"/>
              <w:ind w:left="110"/>
              <w:rPr>
                <w:highlight w:val="none"/>
              </w:rPr>
            </w:pPr>
            <w:r>
              <w:rPr>
                <w:spacing w:val="-1"/>
                <w:highlight w:val="none"/>
              </w:rPr>
              <w:t>实地调研、产线参观</w:t>
            </w:r>
          </w:p>
        </w:tc>
      </w:tr>
      <w:tr w14:paraId="16356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845" w:type="dxa"/>
            <w:vMerge w:val="continue"/>
            <w:tcBorders>
              <w:top w:val="nil"/>
            </w:tcBorders>
            <w:vAlign w:val="top"/>
          </w:tcPr>
          <w:p w14:paraId="0D6AA7C1">
            <w:pPr>
              <w:rPr>
                <w:rFonts w:ascii="Arial"/>
                <w:sz w:val="21"/>
                <w:highlight w:val="none"/>
              </w:rPr>
            </w:pPr>
          </w:p>
        </w:tc>
        <w:tc>
          <w:tcPr>
            <w:tcW w:w="2832" w:type="dxa"/>
            <w:vMerge w:val="continue"/>
            <w:tcBorders>
              <w:top w:val="nil"/>
            </w:tcBorders>
            <w:vAlign w:val="top"/>
          </w:tcPr>
          <w:p w14:paraId="606DCF60">
            <w:pPr>
              <w:rPr>
                <w:rFonts w:ascii="Arial"/>
                <w:sz w:val="21"/>
                <w:highlight w:val="none"/>
              </w:rPr>
            </w:pPr>
          </w:p>
        </w:tc>
        <w:tc>
          <w:tcPr>
            <w:tcW w:w="4683" w:type="dxa"/>
            <w:vAlign w:val="top"/>
          </w:tcPr>
          <w:p w14:paraId="29D9BDB7">
            <w:pPr>
              <w:pStyle w:val="10"/>
              <w:spacing w:before="112" w:line="174" w:lineRule="auto"/>
              <w:ind w:left="108"/>
              <w:rPr>
                <w:highlight w:val="none"/>
              </w:rPr>
            </w:pPr>
            <w:r>
              <w:rPr>
                <w:spacing w:val="-1"/>
                <w:highlight w:val="none"/>
              </w:rPr>
              <w:t>股东大会</w:t>
            </w:r>
          </w:p>
        </w:tc>
      </w:tr>
      <w:tr w14:paraId="2E372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845" w:type="dxa"/>
            <w:vMerge w:val="restart"/>
            <w:tcBorders>
              <w:bottom w:val="nil"/>
            </w:tcBorders>
            <w:vAlign w:val="top"/>
          </w:tcPr>
          <w:p w14:paraId="57607B49">
            <w:pPr>
              <w:spacing w:line="319" w:lineRule="auto"/>
              <w:rPr>
                <w:rFonts w:ascii="Arial"/>
                <w:sz w:val="21"/>
                <w:highlight w:val="none"/>
              </w:rPr>
            </w:pPr>
          </w:p>
          <w:p w14:paraId="7003B59B">
            <w:pPr>
              <w:spacing w:line="319" w:lineRule="auto"/>
              <w:rPr>
                <w:rFonts w:ascii="Arial"/>
                <w:sz w:val="21"/>
                <w:highlight w:val="none"/>
              </w:rPr>
            </w:pPr>
          </w:p>
          <w:p w14:paraId="79895E03">
            <w:pPr>
              <w:pStyle w:val="10"/>
              <w:spacing w:before="103" w:line="195" w:lineRule="auto"/>
              <w:ind w:left="564"/>
              <w:rPr>
                <w:highlight w:val="none"/>
              </w:rPr>
            </w:pPr>
            <w:r>
              <w:rPr>
                <w:spacing w:val="-1"/>
                <w:highlight w:val="none"/>
              </w:rPr>
              <w:t>供应商</w:t>
            </w:r>
          </w:p>
        </w:tc>
        <w:tc>
          <w:tcPr>
            <w:tcW w:w="2832" w:type="dxa"/>
            <w:vAlign w:val="top"/>
          </w:tcPr>
          <w:p w14:paraId="02DECFE1">
            <w:pPr>
              <w:pStyle w:val="10"/>
              <w:spacing w:before="111" w:line="175" w:lineRule="auto"/>
              <w:ind w:left="109"/>
              <w:rPr>
                <w:highlight w:val="none"/>
              </w:rPr>
            </w:pPr>
            <w:r>
              <w:rPr>
                <w:spacing w:val="-1"/>
                <w:highlight w:val="none"/>
              </w:rPr>
              <w:t>合规管理与商业道德</w:t>
            </w:r>
          </w:p>
        </w:tc>
        <w:tc>
          <w:tcPr>
            <w:tcW w:w="4683" w:type="dxa"/>
            <w:vAlign w:val="top"/>
          </w:tcPr>
          <w:p w14:paraId="1F2FEEC8">
            <w:pPr>
              <w:pStyle w:val="10"/>
              <w:spacing w:before="111" w:line="175" w:lineRule="auto"/>
              <w:ind w:left="107"/>
              <w:rPr>
                <w:highlight w:val="none"/>
              </w:rPr>
            </w:pPr>
            <w:r>
              <w:rPr>
                <w:spacing w:val="-1"/>
                <w:highlight w:val="none"/>
              </w:rPr>
              <w:t>供应商培训、研讨</w:t>
            </w:r>
          </w:p>
        </w:tc>
      </w:tr>
      <w:tr w14:paraId="40995F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845" w:type="dxa"/>
            <w:vMerge w:val="continue"/>
            <w:tcBorders>
              <w:top w:val="nil"/>
              <w:bottom w:val="nil"/>
            </w:tcBorders>
            <w:vAlign w:val="top"/>
          </w:tcPr>
          <w:p w14:paraId="325CE904">
            <w:pPr>
              <w:rPr>
                <w:rFonts w:ascii="Arial"/>
                <w:sz w:val="21"/>
                <w:highlight w:val="none"/>
              </w:rPr>
            </w:pPr>
          </w:p>
        </w:tc>
        <w:tc>
          <w:tcPr>
            <w:tcW w:w="2832" w:type="dxa"/>
            <w:vAlign w:val="top"/>
          </w:tcPr>
          <w:p w14:paraId="581FD570">
            <w:pPr>
              <w:pStyle w:val="10"/>
              <w:spacing w:before="108" w:line="174" w:lineRule="auto"/>
              <w:ind w:left="122"/>
              <w:rPr>
                <w:highlight w:val="none"/>
              </w:rPr>
            </w:pPr>
            <w:r>
              <w:rPr>
                <w:spacing w:val="-2"/>
                <w:highlight w:val="none"/>
              </w:rPr>
              <w:t>品质目标达成情况</w:t>
            </w:r>
          </w:p>
        </w:tc>
        <w:tc>
          <w:tcPr>
            <w:tcW w:w="4683" w:type="dxa"/>
            <w:vAlign w:val="top"/>
          </w:tcPr>
          <w:p w14:paraId="07DF9967">
            <w:pPr>
              <w:pStyle w:val="10"/>
              <w:spacing w:before="108" w:line="174" w:lineRule="auto"/>
              <w:ind w:left="107"/>
              <w:rPr>
                <w:highlight w:val="none"/>
              </w:rPr>
            </w:pPr>
            <w:r>
              <w:rPr>
                <w:spacing w:val="-1"/>
                <w:highlight w:val="none"/>
              </w:rPr>
              <w:t>供应商评估、审核</w:t>
            </w:r>
          </w:p>
        </w:tc>
      </w:tr>
      <w:tr w14:paraId="16B5E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845" w:type="dxa"/>
            <w:vMerge w:val="continue"/>
            <w:tcBorders>
              <w:top w:val="nil"/>
              <w:bottom w:val="nil"/>
            </w:tcBorders>
            <w:vAlign w:val="top"/>
          </w:tcPr>
          <w:p w14:paraId="57EE8930">
            <w:pPr>
              <w:rPr>
                <w:rFonts w:ascii="Arial"/>
                <w:sz w:val="21"/>
                <w:highlight w:val="none"/>
              </w:rPr>
            </w:pPr>
          </w:p>
        </w:tc>
        <w:tc>
          <w:tcPr>
            <w:tcW w:w="2832" w:type="dxa"/>
            <w:vAlign w:val="top"/>
          </w:tcPr>
          <w:p w14:paraId="71D3AC2D">
            <w:pPr>
              <w:pStyle w:val="10"/>
              <w:spacing w:before="108" w:line="174" w:lineRule="auto"/>
              <w:ind w:left="110"/>
              <w:rPr>
                <w:highlight w:val="none"/>
              </w:rPr>
            </w:pPr>
            <w:r>
              <w:rPr>
                <w:spacing w:val="-1"/>
                <w:highlight w:val="none"/>
              </w:rPr>
              <w:t>深入技术交流</w:t>
            </w:r>
          </w:p>
        </w:tc>
        <w:tc>
          <w:tcPr>
            <w:tcW w:w="4683" w:type="dxa"/>
            <w:vAlign w:val="top"/>
          </w:tcPr>
          <w:p w14:paraId="3832E900">
            <w:pPr>
              <w:pStyle w:val="10"/>
              <w:spacing w:before="108" w:line="174" w:lineRule="auto"/>
              <w:ind w:left="107"/>
              <w:rPr>
                <w:highlight w:val="none"/>
              </w:rPr>
            </w:pPr>
            <w:r>
              <w:rPr>
                <w:spacing w:val="-1"/>
                <w:highlight w:val="none"/>
              </w:rPr>
              <w:t>供应商大会</w:t>
            </w:r>
          </w:p>
        </w:tc>
      </w:tr>
      <w:tr w14:paraId="1786C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845" w:type="dxa"/>
            <w:vMerge w:val="continue"/>
            <w:tcBorders>
              <w:top w:val="nil"/>
            </w:tcBorders>
            <w:vAlign w:val="top"/>
          </w:tcPr>
          <w:p w14:paraId="547BB327">
            <w:pPr>
              <w:rPr>
                <w:rFonts w:ascii="Arial"/>
                <w:sz w:val="21"/>
                <w:highlight w:val="none"/>
              </w:rPr>
            </w:pPr>
          </w:p>
        </w:tc>
        <w:tc>
          <w:tcPr>
            <w:tcW w:w="2832" w:type="dxa"/>
            <w:vAlign w:val="top"/>
          </w:tcPr>
          <w:p w14:paraId="31E1F18E">
            <w:pPr>
              <w:pStyle w:val="10"/>
              <w:spacing w:before="106" w:line="174" w:lineRule="auto"/>
              <w:ind w:left="109"/>
              <w:rPr>
                <w:highlight w:val="none"/>
              </w:rPr>
            </w:pPr>
            <w:r>
              <w:rPr>
                <w:spacing w:val="-1"/>
                <w:highlight w:val="none"/>
              </w:rPr>
              <w:t>信息共享、商务支持等</w:t>
            </w:r>
          </w:p>
        </w:tc>
        <w:tc>
          <w:tcPr>
            <w:tcW w:w="4683" w:type="dxa"/>
            <w:vAlign w:val="top"/>
          </w:tcPr>
          <w:p w14:paraId="3F34FB2B">
            <w:pPr>
              <w:pStyle w:val="10"/>
              <w:spacing w:before="106" w:line="174" w:lineRule="auto"/>
              <w:ind w:left="107"/>
              <w:rPr>
                <w:highlight w:val="none"/>
              </w:rPr>
            </w:pPr>
            <w:r>
              <w:rPr>
                <w:spacing w:val="-1"/>
                <w:highlight w:val="none"/>
              </w:rPr>
              <w:t>季度品质回顾、季度技术回顾</w:t>
            </w:r>
          </w:p>
        </w:tc>
      </w:tr>
      <w:tr w14:paraId="5B6241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845" w:type="dxa"/>
            <w:vMerge w:val="restart"/>
            <w:tcBorders>
              <w:bottom w:val="nil"/>
            </w:tcBorders>
            <w:vAlign w:val="top"/>
          </w:tcPr>
          <w:p w14:paraId="1390EC1D">
            <w:pPr>
              <w:spacing w:line="318" w:lineRule="auto"/>
              <w:rPr>
                <w:rFonts w:ascii="Arial"/>
                <w:sz w:val="21"/>
                <w:highlight w:val="none"/>
              </w:rPr>
            </w:pPr>
          </w:p>
          <w:p w14:paraId="26934925">
            <w:pPr>
              <w:spacing w:line="318" w:lineRule="auto"/>
              <w:rPr>
                <w:rFonts w:ascii="Arial"/>
                <w:sz w:val="21"/>
                <w:highlight w:val="none"/>
              </w:rPr>
            </w:pPr>
          </w:p>
          <w:p w14:paraId="31145697">
            <w:pPr>
              <w:pStyle w:val="10"/>
              <w:spacing w:before="103" w:line="193" w:lineRule="auto"/>
              <w:ind w:left="689"/>
              <w:rPr>
                <w:highlight w:val="none"/>
              </w:rPr>
            </w:pPr>
            <w:r>
              <w:rPr>
                <w:spacing w:val="-2"/>
                <w:highlight w:val="none"/>
              </w:rPr>
              <w:t>员工</w:t>
            </w:r>
          </w:p>
        </w:tc>
        <w:tc>
          <w:tcPr>
            <w:tcW w:w="2832" w:type="dxa"/>
            <w:vAlign w:val="top"/>
          </w:tcPr>
          <w:p w14:paraId="599C8533">
            <w:pPr>
              <w:pStyle w:val="10"/>
              <w:spacing w:before="108" w:line="174" w:lineRule="auto"/>
              <w:ind w:left="111"/>
              <w:rPr>
                <w:highlight w:val="none"/>
              </w:rPr>
            </w:pPr>
            <w:r>
              <w:rPr>
                <w:spacing w:val="-1"/>
                <w:highlight w:val="none"/>
              </w:rPr>
              <w:t>员工参与企业经营</w:t>
            </w:r>
          </w:p>
        </w:tc>
        <w:tc>
          <w:tcPr>
            <w:tcW w:w="4683" w:type="dxa"/>
            <w:vAlign w:val="top"/>
          </w:tcPr>
          <w:p w14:paraId="497EAB8D">
            <w:pPr>
              <w:pStyle w:val="10"/>
              <w:spacing w:before="108" w:line="174" w:lineRule="auto"/>
              <w:ind w:left="109"/>
              <w:rPr>
                <w:highlight w:val="none"/>
              </w:rPr>
            </w:pPr>
            <w:r>
              <w:rPr>
                <w:spacing w:val="-1"/>
                <w:highlight w:val="none"/>
              </w:rPr>
              <w:t>总经理信箱、员工帮助信箱、意见箱</w:t>
            </w:r>
          </w:p>
        </w:tc>
      </w:tr>
      <w:tr w14:paraId="5E052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845" w:type="dxa"/>
            <w:vMerge w:val="continue"/>
            <w:tcBorders>
              <w:top w:val="nil"/>
              <w:bottom w:val="nil"/>
            </w:tcBorders>
            <w:vAlign w:val="top"/>
          </w:tcPr>
          <w:p w14:paraId="18735072">
            <w:pPr>
              <w:rPr>
                <w:rFonts w:ascii="Arial"/>
                <w:sz w:val="21"/>
                <w:highlight w:val="none"/>
              </w:rPr>
            </w:pPr>
          </w:p>
        </w:tc>
        <w:tc>
          <w:tcPr>
            <w:tcW w:w="2832" w:type="dxa"/>
            <w:vAlign w:val="top"/>
          </w:tcPr>
          <w:p w14:paraId="169E341A">
            <w:pPr>
              <w:pStyle w:val="10"/>
              <w:spacing w:before="108" w:line="174" w:lineRule="auto"/>
              <w:ind w:left="110"/>
              <w:rPr>
                <w:highlight w:val="none"/>
              </w:rPr>
            </w:pPr>
            <w:r>
              <w:rPr>
                <w:spacing w:val="-1"/>
                <w:highlight w:val="none"/>
              </w:rPr>
              <w:t>职业健康与安全</w:t>
            </w:r>
          </w:p>
        </w:tc>
        <w:tc>
          <w:tcPr>
            <w:tcW w:w="4683" w:type="dxa"/>
            <w:vAlign w:val="top"/>
          </w:tcPr>
          <w:p w14:paraId="24611961">
            <w:pPr>
              <w:pStyle w:val="10"/>
              <w:spacing w:before="108" w:line="174" w:lineRule="auto"/>
              <w:ind w:left="111"/>
              <w:rPr>
                <w:highlight w:val="none"/>
              </w:rPr>
            </w:pPr>
            <w:r>
              <w:rPr>
                <w:spacing w:val="-1"/>
                <w:highlight w:val="none"/>
              </w:rPr>
              <w:t>员工恳谈会、交流会、专项访谈</w:t>
            </w:r>
          </w:p>
        </w:tc>
      </w:tr>
      <w:tr w14:paraId="059F9E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845" w:type="dxa"/>
            <w:vMerge w:val="continue"/>
            <w:tcBorders>
              <w:top w:val="nil"/>
              <w:bottom w:val="nil"/>
            </w:tcBorders>
            <w:vAlign w:val="top"/>
          </w:tcPr>
          <w:p w14:paraId="18193959">
            <w:pPr>
              <w:rPr>
                <w:rFonts w:ascii="Arial"/>
                <w:sz w:val="21"/>
                <w:highlight w:val="none"/>
              </w:rPr>
            </w:pPr>
          </w:p>
        </w:tc>
        <w:tc>
          <w:tcPr>
            <w:tcW w:w="2832" w:type="dxa"/>
            <w:vAlign w:val="top"/>
          </w:tcPr>
          <w:p w14:paraId="2120323D">
            <w:pPr>
              <w:pStyle w:val="10"/>
              <w:spacing w:before="106" w:line="174" w:lineRule="auto"/>
              <w:ind w:left="111"/>
              <w:rPr>
                <w:highlight w:val="none"/>
              </w:rPr>
            </w:pPr>
            <w:r>
              <w:rPr>
                <w:spacing w:val="-2"/>
                <w:highlight w:val="none"/>
              </w:rPr>
              <w:t>员工权益</w:t>
            </w:r>
          </w:p>
        </w:tc>
        <w:tc>
          <w:tcPr>
            <w:tcW w:w="4683" w:type="dxa"/>
            <w:vAlign w:val="top"/>
          </w:tcPr>
          <w:p w14:paraId="4098994D">
            <w:pPr>
              <w:pStyle w:val="10"/>
              <w:spacing w:before="106" w:line="174" w:lineRule="auto"/>
              <w:ind w:left="111"/>
              <w:rPr>
                <w:highlight w:val="none"/>
              </w:rPr>
            </w:pPr>
            <w:r>
              <w:rPr>
                <w:spacing w:val="-1"/>
                <w:highlight w:val="none"/>
              </w:rPr>
              <w:t>员工满意度调查</w:t>
            </w:r>
          </w:p>
        </w:tc>
      </w:tr>
      <w:tr w14:paraId="3D6BFD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845" w:type="dxa"/>
            <w:vMerge w:val="continue"/>
            <w:tcBorders>
              <w:top w:val="nil"/>
            </w:tcBorders>
            <w:vAlign w:val="top"/>
          </w:tcPr>
          <w:p w14:paraId="0A96DB30">
            <w:pPr>
              <w:rPr>
                <w:rFonts w:ascii="Arial"/>
                <w:sz w:val="21"/>
                <w:highlight w:val="none"/>
              </w:rPr>
            </w:pPr>
          </w:p>
        </w:tc>
        <w:tc>
          <w:tcPr>
            <w:tcW w:w="2832" w:type="dxa"/>
            <w:vAlign w:val="top"/>
          </w:tcPr>
          <w:p w14:paraId="045040B2">
            <w:pPr>
              <w:pStyle w:val="10"/>
              <w:spacing w:before="110" w:line="173" w:lineRule="auto"/>
              <w:ind w:left="109"/>
              <w:rPr>
                <w:highlight w:val="none"/>
              </w:rPr>
            </w:pPr>
            <w:r>
              <w:rPr>
                <w:spacing w:val="-1"/>
                <w:highlight w:val="none"/>
              </w:rPr>
              <w:t>薪酬福利</w:t>
            </w:r>
          </w:p>
        </w:tc>
        <w:tc>
          <w:tcPr>
            <w:tcW w:w="4683" w:type="dxa"/>
            <w:vAlign w:val="top"/>
          </w:tcPr>
          <w:p w14:paraId="76E4EE01">
            <w:pPr>
              <w:pStyle w:val="10"/>
              <w:spacing w:before="110" w:line="173" w:lineRule="auto"/>
              <w:ind w:left="111"/>
              <w:rPr>
                <w:highlight w:val="none"/>
              </w:rPr>
            </w:pPr>
            <w:r>
              <w:rPr>
                <w:spacing w:val="-2"/>
                <w:highlight w:val="none"/>
              </w:rPr>
              <w:t>员工活动</w:t>
            </w:r>
          </w:p>
        </w:tc>
      </w:tr>
      <w:tr w14:paraId="0FE25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845" w:type="dxa"/>
            <w:vMerge w:val="restart"/>
            <w:tcBorders>
              <w:bottom w:val="nil"/>
            </w:tcBorders>
            <w:vAlign w:val="top"/>
          </w:tcPr>
          <w:p w14:paraId="61433FB8">
            <w:pPr>
              <w:spacing w:line="424" w:lineRule="auto"/>
              <w:rPr>
                <w:rFonts w:ascii="Arial"/>
                <w:sz w:val="21"/>
                <w:highlight w:val="none"/>
              </w:rPr>
            </w:pPr>
          </w:p>
          <w:p w14:paraId="01EDA583">
            <w:pPr>
              <w:pStyle w:val="10"/>
              <w:spacing w:before="103" w:line="196" w:lineRule="auto"/>
              <w:ind w:left="686"/>
              <w:rPr>
                <w:highlight w:val="none"/>
              </w:rPr>
            </w:pPr>
            <w:r>
              <w:rPr>
                <w:spacing w:val="-1"/>
                <w:highlight w:val="none"/>
              </w:rPr>
              <w:t>社区</w:t>
            </w:r>
          </w:p>
        </w:tc>
        <w:tc>
          <w:tcPr>
            <w:tcW w:w="2832" w:type="dxa"/>
            <w:vAlign w:val="top"/>
          </w:tcPr>
          <w:p w14:paraId="0E369357">
            <w:pPr>
              <w:pStyle w:val="10"/>
              <w:spacing w:before="110" w:line="173" w:lineRule="auto"/>
              <w:ind w:left="107"/>
              <w:rPr>
                <w:highlight w:val="none"/>
              </w:rPr>
            </w:pPr>
            <w:r>
              <w:rPr>
                <w:spacing w:val="-1"/>
                <w:highlight w:val="none"/>
              </w:rPr>
              <w:t>污染防治</w:t>
            </w:r>
          </w:p>
        </w:tc>
        <w:tc>
          <w:tcPr>
            <w:tcW w:w="4683" w:type="dxa"/>
            <w:vAlign w:val="top"/>
          </w:tcPr>
          <w:p w14:paraId="1E5DEF3D">
            <w:pPr>
              <w:pStyle w:val="10"/>
              <w:spacing w:before="110" w:line="173" w:lineRule="auto"/>
              <w:ind w:left="109"/>
              <w:rPr>
                <w:highlight w:val="none"/>
              </w:rPr>
            </w:pPr>
            <w:r>
              <w:rPr>
                <w:spacing w:val="-1"/>
                <w:highlight w:val="none"/>
              </w:rPr>
              <w:t>信息披露</w:t>
            </w:r>
          </w:p>
        </w:tc>
      </w:tr>
      <w:tr w14:paraId="29604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845" w:type="dxa"/>
            <w:vMerge w:val="continue"/>
            <w:tcBorders>
              <w:top w:val="nil"/>
              <w:bottom w:val="nil"/>
            </w:tcBorders>
            <w:vAlign w:val="top"/>
          </w:tcPr>
          <w:p w14:paraId="01E2E3BF">
            <w:pPr>
              <w:rPr>
                <w:rFonts w:ascii="Arial"/>
                <w:sz w:val="21"/>
                <w:highlight w:val="none"/>
              </w:rPr>
            </w:pPr>
          </w:p>
        </w:tc>
        <w:tc>
          <w:tcPr>
            <w:tcW w:w="2832" w:type="dxa"/>
            <w:vAlign w:val="top"/>
          </w:tcPr>
          <w:p w14:paraId="13E7D93F">
            <w:pPr>
              <w:pStyle w:val="10"/>
              <w:spacing w:before="108" w:line="173" w:lineRule="auto"/>
              <w:ind w:left="110"/>
              <w:rPr>
                <w:highlight w:val="none"/>
              </w:rPr>
            </w:pPr>
            <w:r>
              <w:rPr>
                <w:spacing w:val="-1"/>
                <w:highlight w:val="none"/>
              </w:rPr>
              <w:t>资源回收利用</w:t>
            </w:r>
          </w:p>
        </w:tc>
        <w:tc>
          <w:tcPr>
            <w:tcW w:w="4683" w:type="dxa"/>
            <w:vAlign w:val="top"/>
          </w:tcPr>
          <w:p w14:paraId="2FBAD3FD">
            <w:pPr>
              <w:pStyle w:val="10"/>
              <w:spacing w:before="108" w:line="173" w:lineRule="auto"/>
              <w:ind w:left="110"/>
              <w:rPr>
                <w:highlight w:val="none"/>
              </w:rPr>
            </w:pPr>
            <w:r>
              <w:rPr>
                <w:spacing w:val="-1"/>
                <w:highlight w:val="none"/>
              </w:rPr>
              <w:t>实地走访</w:t>
            </w:r>
          </w:p>
        </w:tc>
      </w:tr>
      <w:tr w14:paraId="536CA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845" w:type="dxa"/>
            <w:vMerge w:val="continue"/>
            <w:tcBorders>
              <w:top w:val="nil"/>
            </w:tcBorders>
            <w:vAlign w:val="top"/>
          </w:tcPr>
          <w:p w14:paraId="28353BBA">
            <w:pPr>
              <w:rPr>
                <w:rFonts w:ascii="Arial"/>
                <w:sz w:val="21"/>
                <w:highlight w:val="none"/>
              </w:rPr>
            </w:pPr>
          </w:p>
        </w:tc>
        <w:tc>
          <w:tcPr>
            <w:tcW w:w="2832" w:type="dxa"/>
            <w:vAlign w:val="top"/>
          </w:tcPr>
          <w:p w14:paraId="113D28B0">
            <w:pPr>
              <w:pStyle w:val="10"/>
              <w:spacing w:before="110" w:line="173" w:lineRule="auto"/>
              <w:ind w:left="109"/>
              <w:rPr>
                <w:highlight w:val="none"/>
              </w:rPr>
            </w:pPr>
            <w:r>
              <w:rPr>
                <w:spacing w:val="-1"/>
                <w:highlight w:val="none"/>
              </w:rPr>
              <w:t>公益活动</w:t>
            </w:r>
          </w:p>
        </w:tc>
        <w:tc>
          <w:tcPr>
            <w:tcW w:w="4683" w:type="dxa"/>
            <w:vAlign w:val="top"/>
          </w:tcPr>
          <w:p w14:paraId="651DBD37">
            <w:pPr>
              <w:pStyle w:val="10"/>
              <w:spacing w:before="110" w:line="173" w:lineRule="auto"/>
              <w:ind w:left="109"/>
              <w:rPr>
                <w:highlight w:val="none"/>
              </w:rPr>
            </w:pPr>
            <w:r>
              <w:rPr>
                <w:spacing w:val="-1"/>
                <w:highlight w:val="none"/>
              </w:rPr>
              <w:t>公益项目</w:t>
            </w:r>
          </w:p>
        </w:tc>
      </w:tr>
      <w:tr w14:paraId="5BFE2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845" w:type="dxa"/>
            <w:vAlign w:val="top"/>
          </w:tcPr>
          <w:p w14:paraId="06EF4D97">
            <w:pPr>
              <w:pStyle w:val="10"/>
              <w:spacing w:before="111" w:line="172" w:lineRule="auto"/>
              <w:ind w:left="447"/>
              <w:rPr>
                <w:highlight w:val="none"/>
              </w:rPr>
            </w:pPr>
            <w:r>
              <w:rPr>
                <w:spacing w:val="-1"/>
                <w:highlight w:val="none"/>
              </w:rPr>
              <w:t>行业伙伴</w:t>
            </w:r>
          </w:p>
        </w:tc>
        <w:tc>
          <w:tcPr>
            <w:tcW w:w="2832" w:type="dxa"/>
            <w:vAlign w:val="top"/>
          </w:tcPr>
          <w:p w14:paraId="0A683466">
            <w:pPr>
              <w:pStyle w:val="10"/>
              <w:spacing w:before="111" w:line="172" w:lineRule="auto"/>
              <w:ind w:left="109"/>
              <w:rPr>
                <w:highlight w:val="none"/>
              </w:rPr>
            </w:pPr>
            <w:r>
              <w:rPr>
                <w:spacing w:val="-1"/>
                <w:highlight w:val="none"/>
              </w:rPr>
              <w:t>技术交流</w:t>
            </w:r>
          </w:p>
        </w:tc>
        <w:tc>
          <w:tcPr>
            <w:tcW w:w="4683" w:type="dxa"/>
            <w:vAlign w:val="top"/>
          </w:tcPr>
          <w:p w14:paraId="5F17AEA8">
            <w:pPr>
              <w:pStyle w:val="10"/>
              <w:spacing w:before="111" w:line="172" w:lineRule="auto"/>
              <w:ind w:left="110"/>
              <w:rPr>
                <w:highlight w:val="none"/>
              </w:rPr>
            </w:pPr>
            <w:r>
              <w:rPr>
                <w:spacing w:val="-1"/>
                <w:highlight w:val="none"/>
              </w:rPr>
              <w:t>行业会议、研讨会等交流活动</w:t>
            </w:r>
          </w:p>
        </w:tc>
      </w:tr>
      <w:tr w14:paraId="19178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845" w:type="dxa"/>
            <w:vMerge w:val="restart"/>
            <w:tcBorders>
              <w:bottom w:val="nil"/>
            </w:tcBorders>
            <w:vAlign w:val="top"/>
          </w:tcPr>
          <w:p w14:paraId="2FA0DB5B">
            <w:pPr>
              <w:spacing w:line="426" w:lineRule="auto"/>
              <w:rPr>
                <w:rFonts w:ascii="Arial"/>
                <w:sz w:val="21"/>
                <w:highlight w:val="none"/>
              </w:rPr>
            </w:pPr>
          </w:p>
          <w:p w14:paraId="76316E9F">
            <w:pPr>
              <w:pStyle w:val="10"/>
              <w:spacing w:before="103" w:line="194" w:lineRule="auto"/>
              <w:ind w:left="687"/>
              <w:rPr>
                <w:highlight w:val="none"/>
              </w:rPr>
            </w:pPr>
            <w:r>
              <w:rPr>
                <w:spacing w:val="-1"/>
                <w:highlight w:val="none"/>
              </w:rPr>
              <w:t>政府</w:t>
            </w:r>
          </w:p>
        </w:tc>
        <w:tc>
          <w:tcPr>
            <w:tcW w:w="2832" w:type="dxa"/>
            <w:vAlign w:val="top"/>
          </w:tcPr>
          <w:p w14:paraId="79285E2D">
            <w:pPr>
              <w:pStyle w:val="10"/>
              <w:spacing w:before="111" w:line="172" w:lineRule="auto"/>
              <w:ind w:left="109"/>
              <w:rPr>
                <w:highlight w:val="none"/>
              </w:rPr>
            </w:pPr>
            <w:r>
              <w:rPr>
                <w:spacing w:val="-1"/>
                <w:highlight w:val="none"/>
              </w:rPr>
              <w:t>政策落实</w:t>
            </w:r>
          </w:p>
        </w:tc>
        <w:tc>
          <w:tcPr>
            <w:tcW w:w="4683" w:type="dxa"/>
            <w:vAlign w:val="top"/>
          </w:tcPr>
          <w:p w14:paraId="31189B55">
            <w:pPr>
              <w:pStyle w:val="10"/>
              <w:spacing w:before="111" w:line="172" w:lineRule="auto"/>
              <w:ind w:left="109"/>
              <w:rPr>
                <w:highlight w:val="none"/>
              </w:rPr>
            </w:pPr>
            <w:r>
              <w:rPr>
                <w:spacing w:val="-1"/>
                <w:highlight w:val="none"/>
              </w:rPr>
              <w:t>研讨会、座谈会</w:t>
            </w:r>
          </w:p>
        </w:tc>
      </w:tr>
      <w:tr w14:paraId="157BB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845" w:type="dxa"/>
            <w:vMerge w:val="continue"/>
            <w:tcBorders>
              <w:top w:val="nil"/>
              <w:bottom w:val="nil"/>
            </w:tcBorders>
            <w:vAlign w:val="top"/>
          </w:tcPr>
          <w:p w14:paraId="54A4AA32">
            <w:pPr>
              <w:rPr>
                <w:rFonts w:ascii="Arial"/>
                <w:sz w:val="21"/>
                <w:highlight w:val="none"/>
              </w:rPr>
            </w:pPr>
          </w:p>
        </w:tc>
        <w:tc>
          <w:tcPr>
            <w:tcW w:w="2832" w:type="dxa"/>
            <w:vAlign w:val="top"/>
          </w:tcPr>
          <w:p w14:paraId="354792ED">
            <w:pPr>
              <w:pStyle w:val="10"/>
              <w:spacing w:before="109" w:line="172" w:lineRule="auto"/>
              <w:ind w:left="110"/>
              <w:rPr>
                <w:highlight w:val="none"/>
              </w:rPr>
            </w:pPr>
            <w:r>
              <w:rPr>
                <w:spacing w:val="-1"/>
                <w:highlight w:val="none"/>
              </w:rPr>
              <w:t>行业/产业发展</w:t>
            </w:r>
          </w:p>
        </w:tc>
        <w:tc>
          <w:tcPr>
            <w:tcW w:w="4683" w:type="dxa"/>
            <w:vAlign w:val="top"/>
          </w:tcPr>
          <w:p w14:paraId="6917A997">
            <w:pPr>
              <w:pStyle w:val="10"/>
              <w:spacing w:before="109" w:line="172" w:lineRule="auto"/>
              <w:ind w:left="123"/>
              <w:rPr>
                <w:highlight w:val="none"/>
              </w:rPr>
            </w:pPr>
            <w:r>
              <w:rPr>
                <w:spacing w:val="-4"/>
                <w:highlight w:val="none"/>
              </w:rPr>
              <w:t>函件往来</w:t>
            </w:r>
          </w:p>
        </w:tc>
      </w:tr>
      <w:tr w14:paraId="00E4F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845" w:type="dxa"/>
            <w:vMerge w:val="continue"/>
            <w:tcBorders>
              <w:top w:val="nil"/>
            </w:tcBorders>
            <w:vAlign w:val="top"/>
          </w:tcPr>
          <w:p w14:paraId="3648E990">
            <w:pPr>
              <w:rPr>
                <w:rFonts w:ascii="Arial"/>
                <w:sz w:val="21"/>
                <w:highlight w:val="none"/>
              </w:rPr>
            </w:pPr>
          </w:p>
        </w:tc>
        <w:tc>
          <w:tcPr>
            <w:tcW w:w="2832" w:type="dxa"/>
            <w:vAlign w:val="top"/>
          </w:tcPr>
          <w:p w14:paraId="4F42F906">
            <w:pPr>
              <w:pStyle w:val="10"/>
              <w:spacing w:before="111" w:line="172" w:lineRule="auto"/>
              <w:ind w:left="109"/>
              <w:rPr>
                <w:highlight w:val="none"/>
              </w:rPr>
            </w:pPr>
            <w:r>
              <w:rPr>
                <w:spacing w:val="-1"/>
                <w:highlight w:val="none"/>
              </w:rPr>
              <w:t>公司治理</w:t>
            </w:r>
          </w:p>
        </w:tc>
        <w:tc>
          <w:tcPr>
            <w:tcW w:w="4683" w:type="dxa"/>
            <w:vAlign w:val="top"/>
          </w:tcPr>
          <w:p w14:paraId="3877351D">
            <w:pPr>
              <w:pStyle w:val="10"/>
              <w:spacing w:before="111" w:line="172" w:lineRule="auto"/>
              <w:ind w:left="109"/>
              <w:rPr>
                <w:highlight w:val="none"/>
              </w:rPr>
            </w:pPr>
            <w:r>
              <w:rPr>
                <w:spacing w:val="-1"/>
                <w:highlight w:val="none"/>
              </w:rPr>
              <w:t>检查与自查</w:t>
            </w:r>
          </w:p>
        </w:tc>
      </w:tr>
      <w:tr w14:paraId="2E04C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845" w:type="dxa"/>
            <w:vMerge w:val="restart"/>
            <w:tcBorders>
              <w:bottom w:val="nil"/>
            </w:tcBorders>
            <w:vAlign w:val="top"/>
          </w:tcPr>
          <w:p w14:paraId="223D3AA3">
            <w:pPr>
              <w:pStyle w:val="10"/>
              <w:spacing w:before="323" w:line="195" w:lineRule="auto"/>
              <w:ind w:left="684"/>
              <w:rPr>
                <w:highlight w:val="none"/>
              </w:rPr>
            </w:pPr>
            <w:r>
              <w:rPr>
                <w:spacing w:val="-1"/>
                <w:highlight w:val="none"/>
              </w:rPr>
              <w:t>媒体</w:t>
            </w:r>
          </w:p>
        </w:tc>
        <w:tc>
          <w:tcPr>
            <w:tcW w:w="2832" w:type="dxa"/>
            <w:vAlign w:val="top"/>
          </w:tcPr>
          <w:p w14:paraId="1DAF22CE">
            <w:pPr>
              <w:pStyle w:val="10"/>
              <w:spacing w:before="111" w:line="172" w:lineRule="auto"/>
              <w:ind w:left="109"/>
              <w:rPr>
                <w:highlight w:val="none"/>
              </w:rPr>
            </w:pPr>
            <w:r>
              <w:rPr>
                <w:spacing w:val="-1"/>
                <w:highlight w:val="none"/>
              </w:rPr>
              <w:t>公司运营</w:t>
            </w:r>
          </w:p>
        </w:tc>
        <w:tc>
          <w:tcPr>
            <w:tcW w:w="4683" w:type="dxa"/>
            <w:vAlign w:val="top"/>
          </w:tcPr>
          <w:p w14:paraId="54F28AA1">
            <w:pPr>
              <w:pStyle w:val="10"/>
              <w:spacing w:before="111" w:line="172" w:lineRule="auto"/>
              <w:ind w:left="109"/>
              <w:rPr>
                <w:highlight w:val="none"/>
              </w:rPr>
            </w:pPr>
            <w:r>
              <w:rPr>
                <w:spacing w:val="-1"/>
                <w:highlight w:val="none"/>
              </w:rPr>
              <w:t>采访、见面会等媒体沟通活动</w:t>
            </w:r>
          </w:p>
        </w:tc>
      </w:tr>
      <w:tr w14:paraId="7CE14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845" w:type="dxa"/>
            <w:vMerge w:val="continue"/>
            <w:tcBorders>
              <w:top w:val="nil"/>
            </w:tcBorders>
            <w:vAlign w:val="top"/>
          </w:tcPr>
          <w:p w14:paraId="35BE189F">
            <w:pPr>
              <w:rPr>
                <w:rFonts w:ascii="Arial"/>
                <w:sz w:val="21"/>
                <w:highlight w:val="none"/>
              </w:rPr>
            </w:pPr>
          </w:p>
        </w:tc>
        <w:tc>
          <w:tcPr>
            <w:tcW w:w="2832" w:type="dxa"/>
            <w:vAlign w:val="top"/>
          </w:tcPr>
          <w:p w14:paraId="373E75BA">
            <w:pPr>
              <w:pStyle w:val="10"/>
              <w:spacing w:before="110" w:line="176" w:lineRule="auto"/>
              <w:ind w:left="109"/>
              <w:rPr>
                <w:highlight w:val="none"/>
              </w:rPr>
            </w:pPr>
            <w:r>
              <w:rPr>
                <w:spacing w:val="-1"/>
                <w:highlight w:val="none"/>
              </w:rPr>
              <w:t>信息披露</w:t>
            </w:r>
          </w:p>
        </w:tc>
        <w:tc>
          <w:tcPr>
            <w:tcW w:w="4683" w:type="dxa"/>
            <w:vAlign w:val="top"/>
          </w:tcPr>
          <w:p w14:paraId="472097F8">
            <w:pPr>
              <w:pStyle w:val="10"/>
              <w:spacing w:before="110" w:line="176" w:lineRule="auto"/>
              <w:ind w:left="109"/>
              <w:rPr>
                <w:highlight w:val="none"/>
              </w:rPr>
            </w:pPr>
            <w:r>
              <w:rPr>
                <w:spacing w:val="-1"/>
                <w:highlight w:val="none"/>
              </w:rPr>
              <w:t>定期报告；企业社会责任绩效披露</w:t>
            </w:r>
          </w:p>
        </w:tc>
      </w:tr>
    </w:tbl>
    <w:p w14:paraId="2CA946C4">
      <w:pPr>
        <w:spacing w:before="79" w:line="219" w:lineRule="auto"/>
        <w:ind w:left="1" w:right="76" w:firstLine="479"/>
        <w:jc w:val="both"/>
        <w:rPr>
          <w:rFonts w:ascii="微软雅黑" w:hAnsi="微软雅黑" w:eastAsia="微软雅黑" w:cs="微软雅黑"/>
          <w:spacing w:val="-3"/>
          <w:sz w:val="24"/>
          <w:szCs w:val="24"/>
          <w:highlight w:val="none"/>
        </w:rPr>
      </w:pPr>
    </w:p>
    <w:p w14:paraId="30926D47">
      <w:pPr>
        <w:pStyle w:val="3"/>
        <w:rPr>
          <w:highlight w:val="none"/>
        </w:rPr>
      </w:pPr>
    </w:p>
    <w:p w14:paraId="04210458">
      <w:pPr>
        <w:rPr>
          <w:highlight w:val="none"/>
        </w:rPr>
        <w:sectPr>
          <w:footerReference r:id="rId18" w:type="default"/>
          <w:pgSz w:w="11907" w:h="16839"/>
          <w:pgMar w:top="1132" w:right="955" w:bottom="1251" w:left="1298" w:header="0" w:footer="1047" w:gutter="0"/>
          <w:pgNumType w:fmt="decimal"/>
          <w:cols w:space="720" w:num="1"/>
        </w:sectPr>
      </w:pPr>
    </w:p>
    <w:p w14:paraId="4A839C6E">
      <w:pPr>
        <w:spacing w:before="44" w:line="180" w:lineRule="auto"/>
        <w:ind w:left="3884"/>
        <w:rPr>
          <w:rFonts w:ascii="微软雅黑" w:hAnsi="微软雅黑" w:eastAsia="微软雅黑" w:cs="微软雅黑"/>
          <w:sz w:val="21"/>
          <w:szCs w:val="21"/>
          <w:highlight w:val="none"/>
        </w:rPr>
      </w:pPr>
      <w:bookmarkStart w:id="34" w:name="bookmark35"/>
      <w:bookmarkEnd w:id="34"/>
      <w:r>
        <w:rPr>
          <w:rFonts w:ascii="微软雅黑" w:hAnsi="微软雅黑" w:eastAsia="微软雅黑" w:cs="微软雅黑"/>
          <w:b/>
          <w:bCs/>
          <w:sz w:val="21"/>
          <w:szCs w:val="21"/>
          <w:highlight w:val="none"/>
        </w:rPr>
        <w:t>相关方需求和期望清单</w:t>
      </w:r>
    </w:p>
    <w:tbl>
      <w:tblPr>
        <w:tblStyle w:val="9"/>
        <w:tblW w:w="99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7"/>
        <w:gridCol w:w="3486"/>
        <w:gridCol w:w="1061"/>
        <w:gridCol w:w="1547"/>
        <w:gridCol w:w="1557"/>
        <w:gridCol w:w="1279"/>
      </w:tblGrid>
      <w:tr w14:paraId="37341A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17" w:type="dxa"/>
            <w:vAlign w:val="top"/>
          </w:tcPr>
          <w:p w14:paraId="47D3A044">
            <w:pPr>
              <w:pStyle w:val="10"/>
              <w:spacing w:before="117" w:line="217" w:lineRule="auto"/>
              <w:ind w:left="301" w:right="186" w:hanging="106"/>
              <w:rPr>
                <w:sz w:val="21"/>
                <w:szCs w:val="21"/>
                <w:highlight w:val="none"/>
              </w:rPr>
            </w:pPr>
            <w:r>
              <w:rPr>
                <w:sz w:val="21"/>
                <w:szCs w:val="21"/>
                <w:highlight w:val="none"/>
              </w:rPr>
              <w:t>相关方</w:t>
            </w:r>
            <w:r>
              <w:rPr>
                <w:spacing w:val="-1"/>
                <w:sz w:val="21"/>
                <w:szCs w:val="21"/>
                <w:highlight w:val="none"/>
              </w:rPr>
              <w:t>类型</w:t>
            </w:r>
          </w:p>
        </w:tc>
        <w:tc>
          <w:tcPr>
            <w:tcW w:w="3486" w:type="dxa"/>
            <w:vAlign w:val="top"/>
          </w:tcPr>
          <w:p w14:paraId="2137D177">
            <w:pPr>
              <w:pStyle w:val="10"/>
              <w:spacing w:before="297" w:line="194" w:lineRule="auto"/>
              <w:ind w:left="1218"/>
              <w:rPr>
                <w:sz w:val="21"/>
                <w:szCs w:val="21"/>
                <w:highlight w:val="none"/>
              </w:rPr>
            </w:pPr>
            <w:r>
              <w:rPr>
                <w:sz w:val="21"/>
                <w:szCs w:val="21"/>
                <w:highlight w:val="none"/>
              </w:rPr>
              <w:t>要求和期望</w:t>
            </w:r>
          </w:p>
        </w:tc>
        <w:tc>
          <w:tcPr>
            <w:tcW w:w="1061" w:type="dxa"/>
            <w:vAlign w:val="top"/>
          </w:tcPr>
          <w:p w14:paraId="092BD1D5">
            <w:pPr>
              <w:pStyle w:val="10"/>
              <w:spacing w:before="117" w:line="217" w:lineRule="auto"/>
              <w:ind w:left="216" w:right="105" w:hanging="107"/>
              <w:rPr>
                <w:sz w:val="21"/>
                <w:szCs w:val="21"/>
                <w:highlight w:val="none"/>
              </w:rPr>
            </w:pPr>
            <w:r>
              <w:rPr>
                <w:sz w:val="21"/>
                <w:szCs w:val="21"/>
                <w:highlight w:val="none"/>
              </w:rPr>
              <w:t>是否为合规义务</w:t>
            </w:r>
          </w:p>
        </w:tc>
        <w:tc>
          <w:tcPr>
            <w:tcW w:w="1547" w:type="dxa"/>
            <w:vAlign w:val="top"/>
          </w:tcPr>
          <w:p w14:paraId="23BD3869">
            <w:pPr>
              <w:pStyle w:val="10"/>
              <w:spacing w:before="116"/>
              <w:ind w:left="357"/>
              <w:rPr>
                <w:sz w:val="21"/>
                <w:szCs w:val="21"/>
                <w:highlight w:val="none"/>
              </w:rPr>
            </w:pPr>
            <w:r>
              <w:rPr>
                <w:spacing w:val="-1"/>
                <w:sz w:val="21"/>
                <w:szCs w:val="21"/>
                <w:highlight w:val="none"/>
              </w:rPr>
              <w:t>监测指标</w:t>
            </w:r>
          </w:p>
          <w:p w14:paraId="39159A25">
            <w:pPr>
              <w:pStyle w:val="10"/>
              <w:spacing w:before="1" w:line="193" w:lineRule="auto"/>
              <w:ind w:left="459"/>
              <w:rPr>
                <w:sz w:val="21"/>
                <w:szCs w:val="21"/>
                <w:highlight w:val="none"/>
              </w:rPr>
            </w:pPr>
            <w:r>
              <w:rPr>
                <w:sz w:val="21"/>
                <w:szCs w:val="21"/>
                <w:highlight w:val="none"/>
              </w:rPr>
              <w:t>或项目</w:t>
            </w:r>
          </w:p>
        </w:tc>
        <w:tc>
          <w:tcPr>
            <w:tcW w:w="1557" w:type="dxa"/>
            <w:vAlign w:val="top"/>
          </w:tcPr>
          <w:p w14:paraId="06929CF0">
            <w:pPr>
              <w:pStyle w:val="10"/>
              <w:spacing w:before="297" w:line="194" w:lineRule="auto"/>
              <w:ind w:left="361"/>
              <w:rPr>
                <w:sz w:val="21"/>
                <w:szCs w:val="21"/>
                <w:highlight w:val="none"/>
              </w:rPr>
            </w:pPr>
            <w:r>
              <w:rPr>
                <w:spacing w:val="-1"/>
                <w:sz w:val="21"/>
                <w:szCs w:val="21"/>
                <w:highlight w:val="none"/>
              </w:rPr>
              <w:t>监测频率</w:t>
            </w:r>
          </w:p>
        </w:tc>
        <w:tc>
          <w:tcPr>
            <w:tcW w:w="1279" w:type="dxa"/>
            <w:vAlign w:val="top"/>
          </w:tcPr>
          <w:p w14:paraId="5541695D">
            <w:pPr>
              <w:pStyle w:val="10"/>
              <w:spacing w:before="296" w:line="195" w:lineRule="auto"/>
              <w:ind w:left="223"/>
              <w:rPr>
                <w:sz w:val="21"/>
                <w:szCs w:val="21"/>
                <w:highlight w:val="none"/>
              </w:rPr>
            </w:pPr>
            <w:r>
              <w:rPr>
                <w:spacing w:val="-1"/>
                <w:sz w:val="21"/>
                <w:szCs w:val="21"/>
                <w:highlight w:val="none"/>
              </w:rPr>
              <w:t>监测部门</w:t>
            </w:r>
          </w:p>
        </w:tc>
      </w:tr>
      <w:tr w14:paraId="6DE2F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17" w:type="dxa"/>
            <w:vAlign w:val="top"/>
          </w:tcPr>
          <w:p w14:paraId="7D29221D">
            <w:pPr>
              <w:pStyle w:val="10"/>
              <w:spacing w:before="114" w:line="195" w:lineRule="auto"/>
              <w:ind w:left="88"/>
              <w:rPr>
                <w:sz w:val="21"/>
                <w:szCs w:val="21"/>
                <w:highlight w:val="none"/>
              </w:rPr>
            </w:pPr>
            <w:r>
              <w:rPr>
                <w:sz w:val="21"/>
                <w:szCs w:val="21"/>
                <w:highlight w:val="none"/>
              </w:rPr>
              <w:t>公司股东</w:t>
            </w:r>
          </w:p>
        </w:tc>
        <w:tc>
          <w:tcPr>
            <w:tcW w:w="3486" w:type="dxa"/>
            <w:vAlign w:val="top"/>
          </w:tcPr>
          <w:p w14:paraId="18FC8677">
            <w:pPr>
              <w:pStyle w:val="10"/>
              <w:spacing w:before="114" w:line="194" w:lineRule="auto"/>
              <w:ind w:left="20"/>
              <w:rPr>
                <w:sz w:val="21"/>
                <w:szCs w:val="21"/>
                <w:highlight w:val="none"/>
              </w:rPr>
            </w:pPr>
            <w:r>
              <w:rPr>
                <w:sz w:val="21"/>
                <w:szCs w:val="21"/>
                <w:highlight w:val="none"/>
              </w:rPr>
              <w:t>盈利增长、持续经营、发展规模</w:t>
            </w:r>
          </w:p>
        </w:tc>
        <w:tc>
          <w:tcPr>
            <w:tcW w:w="1061" w:type="dxa"/>
            <w:vAlign w:val="top"/>
          </w:tcPr>
          <w:p w14:paraId="6B5CB31F">
            <w:pPr>
              <w:pStyle w:val="10"/>
              <w:spacing w:before="113" w:line="195" w:lineRule="auto"/>
              <w:ind w:left="424"/>
              <w:rPr>
                <w:sz w:val="21"/>
                <w:szCs w:val="21"/>
                <w:highlight w:val="none"/>
              </w:rPr>
            </w:pPr>
            <w:r>
              <w:rPr>
                <w:sz w:val="21"/>
                <w:szCs w:val="21"/>
                <w:highlight w:val="none"/>
              </w:rPr>
              <w:t>是</w:t>
            </w:r>
          </w:p>
        </w:tc>
        <w:tc>
          <w:tcPr>
            <w:tcW w:w="1547" w:type="dxa"/>
            <w:vAlign w:val="top"/>
          </w:tcPr>
          <w:p w14:paraId="18CA111B">
            <w:pPr>
              <w:pStyle w:val="10"/>
              <w:spacing w:before="113" w:line="195" w:lineRule="auto"/>
              <w:ind w:left="357"/>
              <w:rPr>
                <w:sz w:val="21"/>
                <w:szCs w:val="21"/>
                <w:highlight w:val="none"/>
              </w:rPr>
            </w:pPr>
            <w:r>
              <w:rPr>
                <w:spacing w:val="-1"/>
                <w:sz w:val="21"/>
                <w:szCs w:val="21"/>
                <w:highlight w:val="none"/>
              </w:rPr>
              <w:t>财务报表</w:t>
            </w:r>
          </w:p>
        </w:tc>
        <w:tc>
          <w:tcPr>
            <w:tcW w:w="1557" w:type="dxa"/>
            <w:vAlign w:val="top"/>
          </w:tcPr>
          <w:p w14:paraId="0F1FA11A">
            <w:pPr>
              <w:pStyle w:val="10"/>
              <w:spacing w:before="113" w:line="195" w:lineRule="auto"/>
              <w:ind w:left="359"/>
              <w:rPr>
                <w:sz w:val="21"/>
                <w:szCs w:val="21"/>
                <w:highlight w:val="none"/>
              </w:rPr>
            </w:pPr>
            <w:r>
              <w:rPr>
                <w:sz w:val="21"/>
                <w:szCs w:val="21"/>
                <w:highlight w:val="none"/>
              </w:rPr>
              <w:t>每月一次</w:t>
            </w:r>
          </w:p>
        </w:tc>
        <w:tc>
          <w:tcPr>
            <w:tcW w:w="1279" w:type="dxa"/>
            <w:vAlign w:val="top"/>
          </w:tcPr>
          <w:p w14:paraId="4DD77158">
            <w:pPr>
              <w:pStyle w:val="10"/>
              <w:spacing w:before="113" w:line="195" w:lineRule="auto"/>
              <w:ind w:left="326"/>
              <w:rPr>
                <w:sz w:val="21"/>
                <w:szCs w:val="21"/>
                <w:highlight w:val="none"/>
              </w:rPr>
            </w:pPr>
            <w:r>
              <w:rPr>
                <w:spacing w:val="-1"/>
                <w:sz w:val="21"/>
                <w:szCs w:val="21"/>
                <w:highlight w:val="none"/>
              </w:rPr>
              <w:t>财务部</w:t>
            </w:r>
          </w:p>
        </w:tc>
      </w:tr>
      <w:tr w14:paraId="3D933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017" w:type="dxa"/>
            <w:vMerge w:val="restart"/>
            <w:tcBorders>
              <w:bottom w:val="nil"/>
            </w:tcBorders>
            <w:vAlign w:val="top"/>
          </w:tcPr>
          <w:p w14:paraId="560D04C4">
            <w:pPr>
              <w:spacing w:line="355" w:lineRule="auto"/>
              <w:rPr>
                <w:rFonts w:ascii="Arial"/>
                <w:sz w:val="21"/>
                <w:highlight w:val="none"/>
              </w:rPr>
            </w:pPr>
          </w:p>
          <w:p w14:paraId="4311CD5C">
            <w:pPr>
              <w:spacing w:line="356" w:lineRule="auto"/>
              <w:rPr>
                <w:rFonts w:ascii="Arial"/>
                <w:sz w:val="21"/>
                <w:highlight w:val="none"/>
              </w:rPr>
            </w:pPr>
          </w:p>
          <w:p w14:paraId="4E8B667D">
            <w:pPr>
              <w:pStyle w:val="10"/>
              <w:spacing w:before="90" w:line="194" w:lineRule="auto"/>
              <w:ind w:left="300"/>
              <w:rPr>
                <w:sz w:val="21"/>
                <w:szCs w:val="21"/>
                <w:highlight w:val="none"/>
              </w:rPr>
            </w:pPr>
            <w:r>
              <w:rPr>
                <w:spacing w:val="-1"/>
                <w:sz w:val="21"/>
                <w:szCs w:val="21"/>
                <w:highlight w:val="none"/>
              </w:rPr>
              <w:t>顾客</w:t>
            </w:r>
          </w:p>
        </w:tc>
        <w:tc>
          <w:tcPr>
            <w:tcW w:w="3486" w:type="dxa"/>
            <w:vAlign w:val="top"/>
          </w:tcPr>
          <w:p w14:paraId="5366FB4B">
            <w:pPr>
              <w:pStyle w:val="10"/>
              <w:spacing w:before="112" w:line="194" w:lineRule="auto"/>
              <w:ind w:left="39"/>
              <w:rPr>
                <w:sz w:val="21"/>
                <w:szCs w:val="21"/>
                <w:highlight w:val="none"/>
              </w:rPr>
            </w:pPr>
            <w:r>
              <w:rPr>
                <w:spacing w:val="-2"/>
                <w:sz w:val="21"/>
                <w:szCs w:val="21"/>
                <w:highlight w:val="none"/>
              </w:rPr>
              <w:t>1.产品质量符合顾客要求</w:t>
            </w:r>
          </w:p>
        </w:tc>
        <w:tc>
          <w:tcPr>
            <w:tcW w:w="1061" w:type="dxa"/>
            <w:vAlign w:val="top"/>
          </w:tcPr>
          <w:p w14:paraId="2742B562">
            <w:pPr>
              <w:pStyle w:val="10"/>
              <w:spacing w:before="111" w:line="195" w:lineRule="auto"/>
              <w:ind w:left="424"/>
              <w:rPr>
                <w:sz w:val="21"/>
                <w:szCs w:val="21"/>
                <w:highlight w:val="none"/>
              </w:rPr>
            </w:pPr>
            <w:r>
              <w:rPr>
                <w:sz w:val="21"/>
                <w:szCs w:val="21"/>
                <w:highlight w:val="none"/>
              </w:rPr>
              <w:t>是</w:t>
            </w:r>
          </w:p>
        </w:tc>
        <w:tc>
          <w:tcPr>
            <w:tcW w:w="1547" w:type="dxa"/>
            <w:vAlign w:val="top"/>
          </w:tcPr>
          <w:p w14:paraId="0468758F">
            <w:pPr>
              <w:pStyle w:val="10"/>
              <w:spacing w:before="112" w:line="194" w:lineRule="auto"/>
              <w:ind w:left="248"/>
              <w:rPr>
                <w:sz w:val="21"/>
                <w:szCs w:val="21"/>
                <w:highlight w:val="none"/>
              </w:rPr>
            </w:pPr>
            <w:r>
              <w:rPr>
                <w:sz w:val="21"/>
                <w:szCs w:val="21"/>
                <w:highlight w:val="none"/>
              </w:rPr>
              <w:t>客户退货率</w:t>
            </w:r>
          </w:p>
        </w:tc>
        <w:tc>
          <w:tcPr>
            <w:tcW w:w="1557" w:type="dxa"/>
            <w:vAlign w:val="top"/>
          </w:tcPr>
          <w:p w14:paraId="7E82871A">
            <w:pPr>
              <w:pStyle w:val="10"/>
              <w:spacing w:before="110" w:line="195" w:lineRule="auto"/>
              <w:ind w:left="359"/>
              <w:rPr>
                <w:sz w:val="21"/>
                <w:szCs w:val="21"/>
                <w:highlight w:val="none"/>
              </w:rPr>
            </w:pPr>
            <w:r>
              <w:rPr>
                <w:sz w:val="21"/>
                <w:szCs w:val="21"/>
                <w:highlight w:val="none"/>
              </w:rPr>
              <w:t>每月一次</w:t>
            </w:r>
          </w:p>
        </w:tc>
        <w:tc>
          <w:tcPr>
            <w:tcW w:w="1279" w:type="dxa"/>
            <w:vAlign w:val="top"/>
          </w:tcPr>
          <w:p w14:paraId="2C99FB08">
            <w:pPr>
              <w:pStyle w:val="10"/>
              <w:spacing w:before="111" w:line="195" w:lineRule="auto"/>
              <w:ind w:left="324"/>
              <w:rPr>
                <w:sz w:val="21"/>
                <w:szCs w:val="21"/>
                <w:highlight w:val="none"/>
              </w:rPr>
            </w:pPr>
            <w:r>
              <w:rPr>
                <w:sz w:val="21"/>
                <w:szCs w:val="21"/>
                <w:highlight w:val="none"/>
              </w:rPr>
              <w:t>技术部</w:t>
            </w:r>
          </w:p>
        </w:tc>
      </w:tr>
      <w:tr w14:paraId="1735C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17" w:type="dxa"/>
            <w:vMerge w:val="continue"/>
            <w:tcBorders>
              <w:top w:val="nil"/>
              <w:bottom w:val="nil"/>
            </w:tcBorders>
            <w:vAlign w:val="top"/>
          </w:tcPr>
          <w:p w14:paraId="56732E06">
            <w:pPr>
              <w:rPr>
                <w:rFonts w:ascii="Arial"/>
                <w:sz w:val="21"/>
                <w:highlight w:val="none"/>
              </w:rPr>
            </w:pPr>
          </w:p>
        </w:tc>
        <w:tc>
          <w:tcPr>
            <w:tcW w:w="3486" w:type="dxa"/>
            <w:vAlign w:val="top"/>
          </w:tcPr>
          <w:p w14:paraId="5F3C76A2">
            <w:pPr>
              <w:pStyle w:val="10"/>
              <w:spacing w:before="114" w:line="195" w:lineRule="auto"/>
              <w:ind w:left="29"/>
              <w:rPr>
                <w:sz w:val="21"/>
                <w:szCs w:val="21"/>
                <w:highlight w:val="none"/>
              </w:rPr>
            </w:pPr>
            <w:r>
              <w:rPr>
                <w:spacing w:val="-2"/>
                <w:sz w:val="21"/>
                <w:szCs w:val="21"/>
                <w:highlight w:val="none"/>
              </w:rPr>
              <w:t>2.及时交货</w:t>
            </w:r>
          </w:p>
        </w:tc>
        <w:tc>
          <w:tcPr>
            <w:tcW w:w="1061" w:type="dxa"/>
            <w:vAlign w:val="top"/>
          </w:tcPr>
          <w:p w14:paraId="1C6B02E9">
            <w:pPr>
              <w:pStyle w:val="10"/>
              <w:spacing w:before="114" w:line="195" w:lineRule="auto"/>
              <w:ind w:left="424"/>
              <w:rPr>
                <w:sz w:val="21"/>
                <w:szCs w:val="21"/>
                <w:highlight w:val="none"/>
              </w:rPr>
            </w:pPr>
            <w:r>
              <w:rPr>
                <w:sz w:val="21"/>
                <w:szCs w:val="21"/>
                <w:highlight w:val="none"/>
              </w:rPr>
              <w:t>是</w:t>
            </w:r>
          </w:p>
        </w:tc>
        <w:tc>
          <w:tcPr>
            <w:tcW w:w="1547" w:type="dxa"/>
            <w:vAlign w:val="top"/>
          </w:tcPr>
          <w:p w14:paraId="238E4C81">
            <w:pPr>
              <w:pStyle w:val="10"/>
              <w:spacing w:before="115" w:line="194" w:lineRule="auto"/>
              <w:ind w:left="354"/>
              <w:rPr>
                <w:sz w:val="21"/>
                <w:szCs w:val="21"/>
                <w:highlight w:val="none"/>
              </w:rPr>
            </w:pPr>
            <w:r>
              <w:rPr>
                <w:sz w:val="21"/>
                <w:szCs w:val="21"/>
                <w:highlight w:val="none"/>
              </w:rPr>
              <w:t>客户投诉</w:t>
            </w:r>
          </w:p>
        </w:tc>
        <w:tc>
          <w:tcPr>
            <w:tcW w:w="1557" w:type="dxa"/>
            <w:vAlign w:val="top"/>
          </w:tcPr>
          <w:p w14:paraId="43349FAB">
            <w:pPr>
              <w:pStyle w:val="10"/>
              <w:spacing w:before="114" w:line="195" w:lineRule="auto"/>
              <w:ind w:left="359"/>
              <w:rPr>
                <w:sz w:val="21"/>
                <w:szCs w:val="21"/>
                <w:highlight w:val="none"/>
              </w:rPr>
            </w:pPr>
            <w:r>
              <w:rPr>
                <w:sz w:val="21"/>
                <w:szCs w:val="21"/>
                <w:highlight w:val="none"/>
              </w:rPr>
              <w:t>每月一次</w:t>
            </w:r>
          </w:p>
        </w:tc>
        <w:tc>
          <w:tcPr>
            <w:tcW w:w="1279" w:type="dxa"/>
            <w:vAlign w:val="top"/>
          </w:tcPr>
          <w:p w14:paraId="2ADD7269">
            <w:pPr>
              <w:pStyle w:val="10"/>
              <w:spacing w:before="115" w:line="195" w:lineRule="auto"/>
              <w:ind w:left="324"/>
              <w:rPr>
                <w:sz w:val="21"/>
                <w:szCs w:val="21"/>
                <w:highlight w:val="none"/>
              </w:rPr>
            </w:pPr>
            <w:r>
              <w:rPr>
                <w:sz w:val="21"/>
                <w:szCs w:val="21"/>
                <w:highlight w:val="none"/>
              </w:rPr>
              <w:t>销售部</w:t>
            </w:r>
          </w:p>
        </w:tc>
      </w:tr>
      <w:tr w14:paraId="0B2F2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17" w:type="dxa"/>
            <w:vMerge w:val="continue"/>
            <w:tcBorders>
              <w:top w:val="nil"/>
              <w:bottom w:val="nil"/>
            </w:tcBorders>
            <w:vAlign w:val="top"/>
          </w:tcPr>
          <w:p w14:paraId="3A4B1A56">
            <w:pPr>
              <w:rPr>
                <w:rFonts w:ascii="Arial"/>
                <w:sz w:val="21"/>
                <w:highlight w:val="none"/>
              </w:rPr>
            </w:pPr>
          </w:p>
        </w:tc>
        <w:tc>
          <w:tcPr>
            <w:tcW w:w="3486" w:type="dxa"/>
            <w:vAlign w:val="top"/>
          </w:tcPr>
          <w:p w14:paraId="529A5BD9">
            <w:pPr>
              <w:pStyle w:val="10"/>
              <w:spacing w:before="114" w:line="195" w:lineRule="auto"/>
              <w:ind w:left="32"/>
              <w:rPr>
                <w:sz w:val="21"/>
                <w:szCs w:val="21"/>
                <w:highlight w:val="none"/>
              </w:rPr>
            </w:pPr>
            <w:r>
              <w:rPr>
                <w:spacing w:val="-3"/>
                <w:sz w:val="21"/>
                <w:szCs w:val="21"/>
                <w:highlight w:val="none"/>
              </w:rPr>
              <w:t>3.价格合理</w:t>
            </w:r>
          </w:p>
        </w:tc>
        <w:tc>
          <w:tcPr>
            <w:tcW w:w="1061" w:type="dxa"/>
            <w:vAlign w:val="top"/>
          </w:tcPr>
          <w:p w14:paraId="66C7C572">
            <w:pPr>
              <w:pStyle w:val="10"/>
              <w:spacing w:before="114" w:line="195" w:lineRule="auto"/>
              <w:ind w:left="424"/>
              <w:rPr>
                <w:sz w:val="21"/>
                <w:szCs w:val="21"/>
                <w:highlight w:val="none"/>
              </w:rPr>
            </w:pPr>
            <w:r>
              <w:rPr>
                <w:sz w:val="21"/>
                <w:szCs w:val="21"/>
                <w:highlight w:val="none"/>
              </w:rPr>
              <w:t>是</w:t>
            </w:r>
          </w:p>
        </w:tc>
        <w:tc>
          <w:tcPr>
            <w:tcW w:w="1547" w:type="dxa"/>
            <w:vAlign w:val="top"/>
          </w:tcPr>
          <w:p w14:paraId="2AAC28FA">
            <w:pPr>
              <w:pStyle w:val="10"/>
              <w:spacing w:before="115" w:line="194" w:lineRule="auto"/>
              <w:ind w:left="250"/>
              <w:rPr>
                <w:sz w:val="21"/>
                <w:szCs w:val="21"/>
                <w:highlight w:val="none"/>
              </w:rPr>
            </w:pPr>
            <w:r>
              <w:rPr>
                <w:sz w:val="21"/>
                <w:szCs w:val="21"/>
                <w:highlight w:val="none"/>
              </w:rPr>
              <w:t>顾客满意度</w:t>
            </w:r>
          </w:p>
        </w:tc>
        <w:tc>
          <w:tcPr>
            <w:tcW w:w="1557" w:type="dxa"/>
            <w:vAlign w:val="top"/>
          </w:tcPr>
          <w:p w14:paraId="3774BAFD">
            <w:pPr>
              <w:pStyle w:val="10"/>
              <w:spacing w:before="115" w:line="195" w:lineRule="auto"/>
              <w:ind w:left="359"/>
              <w:rPr>
                <w:sz w:val="21"/>
                <w:szCs w:val="21"/>
                <w:highlight w:val="none"/>
              </w:rPr>
            </w:pPr>
            <w:r>
              <w:rPr>
                <w:sz w:val="21"/>
                <w:szCs w:val="21"/>
                <w:highlight w:val="none"/>
              </w:rPr>
              <w:t>每年一次</w:t>
            </w:r>
          </w:p>
        </w:tc>
        <w:tc>
          <w:tcPr>
            <w:tcW w:w="1279" w:type="dxa"/>
            <w:vAlign w:val="top"/>
          </w:tcPr>
          <w:p w14:paraId="349E4714">
            <w:pPr>
              <w:pStyle w:val="10"/>
              <w:spacing w:before="115" w:line="195" w:lineRule="auto"/>
              <w:ind w:left="324"/>
              <w:rPr>
                <w:sz w:val="21"/>
                <w:szCs w:val="21"/>
                <w:highlight w:val="none"/>
              </w:rPr>
            </w:pPr>
            <w:r>
              <w:rPr>
                <w:sz w:val="21"/>
                <w:szCs w:val="21"/>
                <w:highlight w:val="none"/>
              </w:rPr>
              <w:t>销售部</w:t>
            </w:r>
          </w:p>
        </w:tc>
      </w:tr>
      <w:tr w14:paraId="35B83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017" w:type="dxa"/>
            <w:vMerge w:val="continue"/>
            <w:tcBorders>
              <w:top w:val="nil"/>
            </w:tcBorders>
            <w:vAlign w:val="top"/>
          </w:tcPr>
          <w:p w14:paraId="1AA01501">
            <w:pPr>
              <w:rPr>
                <w:rFonts w:ascii="Arial"/>
                <w:sz w:val="21"/>
                <w:highlight w:val="none"/>
              </w:rPr>
            </w:pPr>
          </w:p>
        </w:tc>
        <w:tc>
          <w:tcPr>
            <w:tcW w:w="3486" w:type="dxa"/>
            <w:vAlign w:val="top"/>
          </w:tcPr>
          <w:p w14:paraId="64F0289B">
            <w:pPr>
              <w:pStyle w:val="10"/>
              <w:spacing w:before="112" w:line="195" w:lineRule="auto"/>
              <w:ind w:left="19"/>
              <w:rPr>
                <w:sz w:val="21"/>
                <w:szCs w:val="21"/>
                <w:highlight w:val="none"/>
              </w:rPr>
            </w:pPr>
            <w:r>
              <w:rPr>
                <w:sz w:val="21"/>
                <w:szCs w:val="21"/>
                <w:highlight w:val="none"/>
              </w:rPr>
              <w:t>4.服务及时</w:t>
            </w:r>
          </w:p>
        </w:tc>
        <w:tc>
          <w:tcPr>
            <w:tcW w:w="1061" w:type="dxa"/>
            <w:vAlign w:val="top"/>
          </w:tcPr>
          <w:p w14:paraId="20780795">
            <w:pPr>
              <w:pStyle w:val="10"/>
              <w:spacing w:before="112" w:line="196" w:lineRule="auto"/>
              <w:ind w:left="425"/>
              <w:rPr>
                <w:sz w:val="21"/>
                <w:szCs w:val="21"/>
                <w:highlight w:val="none"/>
              </w:rPr>
            </w:pPr>
            <w:r>
              <w:rPr>
                <w:sz w:val="21"/>
                <w:szCs w:val="21"/>
                <w:highlight w:val="none"/>
              </w:rPr>
              <w:t>否</w:t>
            </w:r>
          </w:p>
        </w:tc>
        <w:tc>
          <w:tcPr>
            <w:tcW w:w="1547" w:type="dxa"/>
            <w:vAlign w:val="top"/>
          </w:tcPr>
          <w:p w14:paraId="46569289">
            <w:pPr>
              <w:pStyle w:val="10"/>
              <w:spacing w:before="113" w:line="194" w:lineRule="auto"/>
              <w:ind w:left="250"/>
              <w:rPr>
                <w:sz w:val="21"/>
                <w:szCs w:val="21"/>
                <w:highlight w:val="none"/>
              </w:rPr>
            </w:pPr>
            <w:r>
              <w:rPr>
                <w:sz w:val="21"/>
                <w:szCs w:val="21"/>
                <w:highlight w:val="none"/>
              </w:rPr>
              <w:t>顾客满意度</w:t>
            </w:r>
          </w:p>
        </w:tc>
        <w:tc>
          <w:tcPr>
            <w:tcW w:w="1557" w:type="dxa"/>
            <w:vAlign w:val="top"/>
          </w:tcPr>
          <w:p w14:paraId="65597D40">
            <w:pPr>
              <w:pStyle w:val="10"/>
              <w:spacing w:before="113" w:line="195" w:lineRule="auto"/>
              <w:ind w:left="359"/>
              <w:rPr>
                <w:sz w:val="21"/>
                <w:szCs w:val="21"/>
                <w:highlight w:val="none"/>
              </w:rPr>
            </w:pPr>
            <w:r>
              <w:rPr>
                <w:sz w:val="21"/>
                <w:szCs w:val="21"/>
                <w:highlight w:val="none"/>
              </w:rPr>
              <w:t>每年一次</w:t>
            </w:r>
          </w:p>
        </w:tc>
        <w:tc>
          <w:tcPr>
            <w:tcW w:w="1279" w:type="dxa"/>
            <w:vAlign w:val="top"/>
          </w:tcPr>
          <w:p w14:paraId="44C09586">
            <w:pPr>
              <w:pStyle w:val="10"/>
              <w:spacing w:before="113" w:line="195" w:lineRule="auto"/>
              <w:ind w:left="324"/>
              <w:rPr>
                <w:sz w:val="21"/>
                <w:szCs w:val="21"/>
                <w:highlight w:val="none"/>
              </w:rPr>
            </w:pPr>
            <w:r>
              <w:rPr>
                <w:sz w:val="21"/>
                <w:szCs w:val="21"/>
                <w:highlight w:val="none"/>
              </w:rPr>
              <w:t>销售部</w:t>
            </w:r>
          </w:p>
        </w:tc>
      </w:tr>
      <w:tr w14:paraId="5BD31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17" w:type="dxa"/>
            <w:vMerge w:val="restart"/>
            <w:tcBorders>
              <w:bottom w:val="nil"/>
            </w:tcBorders>
            <w:vAlign w:val="top"/>
          </w:tcPr>
          <w:p w14:paraId="15CAC5EA">
            <w:pPr>
              <w:spacing w:line="242" w:lineRule="auto"/>
              <w:rPr>
                <w:rFonts w:ascii="Arial"/>
                <w:sz w:val="21"/>
                <w:highlight w:val="none"/>
              </w:rPr>
            </w:pPr>
          </w:p>
          <w:p w14:paraId="19AEF453">
            <w:pPr>
              <w:spacing w:line="242" w:lineRule="auto"/>
              <w:rPr>
                <w:rFonts w:ascii="Arial"/>
                <w:sz w:val="21"/>
                <w:highlight w:val="none"/>
              </w:rPr>
            </w:pPr>
          </w:p>
          <w:p w14:paraId="024AB394">
            <w:pPr>
              <w:pStyle w:val="10"/>
              <w:spacing w:before="90" w:line="195" w:lineRule="auto"/>
              <w:ind w:left="298"/>
              <w:rPr>
                <w:sz w:val="21"/>
                <w:szCs w:val="21"/>
                <w:highlight w:val="none"/>
              </w:rPr>
            </w:pPr>
            <w:r>
              <w:rPr>
                <w:sz w:val="21"/>
                <w:szCs w:val="21"/>
                <w:highlight w:val="none"/>
              </w:rPr>
              <w:t>供方</w:t>
            </w:r>
          </w:p>
        </w:tc>
        <w:tc>
          <w:tcPr>
            <w:tcW w:w="3486" w:type="dxa"/>
            <w:vAlign w:val="top"/>
          </w:tcPr>
          <w:p w14:paraId="7A927CEB">
            <w:pPr>
              <w:pStyle w:val="10"/>
              <w:spacing w:before="116" w:line="194" w:lineRule="auto"/>
              <w:ind w:left="39"/>
              <w:rPr>
                <w:sz w:val="21"/>
                <w:szCs w:val="21"/>
                <w:highlight w:val="none"/>
              </w:rPr>
            </w:pPr>
            <w:r>
              <w:rPr>
                <w:spacing w:val="-3"/>
                <w:sz w:val="21"/>
                <w:szCs w:val="21"/>
                <w:highlight w:val="none"/>
              </w:rPr>
              <w:t>1.长期合作、双赢</w:t>
            </w:r>
          </w:p>
        </w:tc>
        <w:tc>
          <w:tcPr>
            <w:tcW w:w="1061" w:type="dxa"/>
            <w:vAlign w:val="top"/>
          </w:tcPr>
          <w:p w14:paraId="526ADD3D">
            <w:pPr>
              <w:pStyle w:val="10"/>
              <w:spacing w:before="116" w:line="196" w:lineRule="auto"/>
              <w:ind w:left="425"/>
              <w:rPr>
                <w:sz w:val="21"/>
                <w:szCs w:val="21"/>
                <w:highlight w:val="none"/>
              </w:rPr>
            </w:pPr>
            <w:r>
              <w:rPr>
                <w:sz w:val="21"/>
                <w:szCs w:val="21"/>
                <w:highlight w:val="none"/>
              </w:rPr>
              <w:t>否</w:t>
            </w:r>
          </w:p>
        </w:tc>
        <w:tc>
          <w:tcPr>
            <w:tcW w:w="1547" w:type="dxa"/>
            <w:vAlign w:val="top"/>
          </w:tcPr>
          <w:p w14:paraId="38CC5CD2">
            <w:pPr>
              <w:pStyle w:val="10"/>
              <w:spacing w:before="115" w:line="195" w:lineRule="auto"/>
              <w:ind w:left="39"/>
              <w:rPr>
                <w:sz w:val="21"/>
                <w:szCs w:val="21"/>
                <w:highlight w:val="none"/>
              </w:rPr>
            </w:pPr>
            <w:r>
              <w:rPr>
                <w:sz w:val="21"/>
                <w:szCs w:val="21"/>
                <w:highlight w:val="none"/>
              </w:rPr>
              <w:t>合格供应商名录</w:t>
            </w:r>
          </w:p>
        </w:tc>
        <w:tc>
          <w:tcPr>
            <w:tcW w:w="1557" w:type="dxa"/>
            <w:vAlign w:val="top"/>
          </w:tcPr>
          <w:p w14:paraId="36A76A0A">
            <w:pPr>
              <w:pStyle w:val="10"/>
              <w:spacing w:before="116" w:line="195" w:lineRule="auto"/>
              <w:ind w:left="359"/>
              <w:rPr>
                <w:sz w:val="21"/>
                <w:szCs w:val="21"/>
                <w:highlight w:val="none"/>
              </w:rPr>
            </w:pPr>
            <w:r>
              <w:rPr>
                <w:sz w:val="21"/>
                <w:szCs w:val="21"/>
                <w:highlight w:val="none"/>
              </w:rPr>
              <w:t>每年一次</w:t>
            </w:r>
          </w:p>
        </w:tc>
        <w:tc>
          <w:tcPr>
            <w:tcW w:w="1279" w:type="dxa"/>
            <w:vAlign w:val="top"/>
          </w:tcPr>
          <w:p w14:paraId="04479C2E">
            <w:pPr>
              <w:pStyle w:val="10"/>
              <w:spacing w:before="116" w:line="195" w:lineRule="auto"/>
              <w:ind w:left="324"/>
              <w:rPr>
                <w:sz w:val="21"/>
                <w:szCs w:val="21"/>
                <w:highlight w:val="none"/>
              </w:rPr>
            </w:pPr>
            <w:r>
              <w:rPr>
                <w:sz w:val="21"/>
                <w:szCs w:val="21"/>
                <w:highlight w:val="none"/>
              </w:rPr>
              <w:t>采购部</w:t>
            </w:r>
          </w:p>
        </w:tc>
      </w:tr>
      <w:tr w14:paraId="5D4C12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017" w:type="dxa"/>
            <w:vMerge w:val="continue"/>
            <w:tcBorders>
              <w:top w:val="nil"/>
              <w:bottom w:val="nil"/>
            </w:tcBorders>
            <w:vAlign w:val="top"/>
          </w:tcPr>
          <w:p w14:paraId="4BE3FF2B">
            <w:pPr>
              <w:rPr>
                <w:rFonts w:ascii="Arial"/>
                <w:sz w:val="21"/>
                <w:highlight w:val="none"/>
              </w:rPr>
            </w:pPr>
          </w:p>
        </w:tc>
        <w:tc>
          <w:tcPr>
            <w:tcW w:w="3486" w:type="dxa"/>
            <w:vAlign w:val="top"/>
          </w:tcPr>
          <w:p w14:paraId="18F6904C">
            <w:pPr>
              <w:pStyle w:val="10"/>
              <w:spacing w:before="114" w:line="195" w:lineRule="auto"/>
              <w:ind w:left="29"/>
              <w:rPr>
                <w:sz w:val="21"/>
                <w:szCs w:val="21"/>
                <w:highlight w:val="none"/>
              </w:rPr>
            </w:pPr>
            <w:r>
              <w:rPr>
                <w:spacing w:val="-2"/>
                <w:sz w:val="21"/>
                <w:szCs w:val="21"/>
                <w:highlight w:val="none"/>
              </w:rPr>
              <w:t>2.进料合格率</w:t>
            </w:r>
          </w:p>
        </w:tc>
        <w:tc>
          <w:tcPr>
            <w:tcW w:w="1061" w:type="dxa"/>
            <w:vAlign w:val="top"/>
          </w:tcPr>
          <w:p w14:paraId="2BCE6729">
            <w:pPr>
              <w:pStyle w:val="10"/>
              <w:spacing w:before="113" w:line="195" w:lineRule="auto"/>
              <w:ind w:left="424"/>
              <w:rPr>
                <w:sz w:val="21"/>
                <w:szCs w:val="21"/>
                <w:highlight w:val="none"/>
              </w:rPr>
            </w:pPr>
            <w:r>
              <w:rPr>
                <w:sz w:val="21"/>
                <w:szCs w:val="21"/>
                <w:highlight w:val="none"/>
              </w:rPr>
              <w:t>是</w:t>
            </w:r>
          </w:p>
        </w:tc>
        <w:tc>
          <w:tcPr>
            <w:tcW w:w="1547" w:type="dxa"/>
            <w:vAlign w:val="top"/>
          </w:tcPr>
          <w:p w14:paraId="03292968">
            <w:pPr>
              <w:pStyle w:val="10"/>
              <w:spacing w:before="114" w:line="195" w:lineRule="auto"/>
              <w:ind w:left="250"/>
              <w:rPr>
                <w:sz w:val="21"/>
                <w:szCs w:val="21"/>
                <w:highlight w:val="none"/>
              </w:rPr>
            </w:pPr>
            <w:r>
              <w:rPr>
                <w:sz w:val="21"/>
                <w:szCs w:val="21"/>
                <w:highlight w:val="none"/>
              </w:rPr>
              <w:t>来料合格率</w:t>
            </w:r>
          </w:p>
        </w:tc>
        <w:tc>
          <w:tcPr>
            <w:tcW w:w="1557" w:type="dxa"/>
            <w:vAlign w:val="top"/>
          </w:tcPr>
          <w:p w14:paraId="7CDF82DB">
            <w:pPr>
              <w:pStyle w:val="10"/>
              <w:spacing w:before="113" w:line="195" w:lineRule="auto"/>
              <w:ind w:left="359"/>
              <w:rPr>
                <w:sz w:val="21"/>
                <w:szCs w:val="21"/>
                <w:highlight w:val="none"/>
              </w:rPr>
            </w:pPr>
            <w:r>
              <w:rPr>
                <w:sz w:val="21"/>
                <w:szCs w:val="21"/>
                <w:highlight w:val="none"/>
              </w:rPr>
              <w:t>每月一次</w:t>
            </w:r>
          </w:p>
        </w:tc>
        <w:tc>
          <w:tcPr>
            <w:tcW w:w="1279" w:type="dxa"/>
            <w:vAlign w:val="top"/>
          </w:tcPr>
          <w:p w14:paraId="727F074F">
            <w:pPr>
              <w:pStyle w:val="10"/>
              <w:spacing w:before="113" w:line="195" w:lineRule="auto"/>
              <w:ind w:left="324"/>
              <w:rPr>
                <w:sz w:val="21"/>
                <w:szCs w:val="21"/>
                <w:highlight w:val="none"/>
              </w:rPr>
            </w:pPr>
            <w:r>
              <w:rPr>
                <w:sz w:val="21"/>
                <w:szCs w:val="21"/>
                <w:highlight w:val="none"/>
              </w:rPr>
              <w:t>技术部</w:t>
            </w:r>
          </w:p>
        </w:tc>
      </w:tr>
      <w:tr w14:paraId="7E057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17" w:type="dxa"/>
            <w:vMerge w:val="continue"/>
            <w:tcBorders>
              <w:top w:val="nil"/>
            </w:tcBorders>
            <w:vAlign w:val="top"/>
          </w:tcPr>
          <w:p w14:paraId="41AC2F4B">
            <w:pPr>
              <w:rPr>
                <w:rFonts w:ascii="Arial"/>
                <w:sz w:val="21"/>
                <w:highlight w:val="none"/>
              </w:rPr>
            </w:pPr>
          </w:p>
        </w:tc>
        <w:tc>
          <w:tcPr>
            <w:tcW w:w="3486" w:type="dxa"/>
            <w:vAlign w:val="top"/>
          </w:tcPr>
          <w:p w14:paraId="58087A05">
            <w:pPr>
              <w:pStyle w:val="10"/>
              <w:spacing w:before="117" w:line="195" w:lineRule="auto"/>
              <w:ind w:left="32"/>
              <w:rPr>
                <w:sz w:val="21"/>
                <w:szCs w:val="21"/>
                <w:highlight w:val="none"/>
              </w:rPr>
            </w:pPr>
            <w:r>
              <w:rPr>
                <w:spacing w:val="-3"/>
                <w:sz w:val="21"/>
                <w:szCs w:val="21"/>
                <w:highlight w:val="none"/>
              </w:rPr>
              <w:t>3.及时付款</w:t>
            </w:r>
          </w:p>
        </w:tc>
        <w:tc>
          <w:tcPr>
            <w:tcW w:w="1061" w:type="dxa"/>
            <w:vAlign w:val="top"/>
          </w:tcPr>
          <w:p w14:paraId="25F21734">
            <w:pPr>
              <w:pStyle w:val="10"/>
              <w:spacing w:before="116" w:line="195" w:lineRule="auto"/>
              <w:ind w:left="424"/>
              <w:rPr>
                <w:sz w:val="21"/>
                <w:szCs w:val="21"/>
                <w:highlight w:val="none"/>
              </w:rPr>
            </w:pPr>
            <w:r>
              <w:rPr>
                <w:sz w:val="21"/>
                <w:szCs w:val="21"/>
                <w:highlight w:val="none"/>
              </w:rPr>
              <w:t>是</w:t>
            </w:r>
          </w:p>
        </w:tc>
        <w:tc>
          <w:tcPr>
            <w:tcW w:w="1547" w:type="dxa"/>
            <w:vAlign w:val="top"/>
          </w:tcPr>
          <w:p w14:paraId="23225DD3">
            <w:pPr>
              <w:pStyle w:val="10"/>
              <w:spacing w:before="115" w:line="195" w:lineRule="auto"/>
              <w:ind w:left="357"/>
              <w:rPr>
                <w:sz w:val="21"/>
                <w:szCs w:val="21"/>
                <w:highlight w:val="none"/>
              </w:rPr>
            </w:pPr>
            <w:r>
              <w:rPr>
                <w:spacing w:val="-1"/>
                <w:sz w:val="21"/>
                <w:szCs w:val="21"/>
                <w:highlight w:val="none"/>
              </w:rPr>
              <w:t>贷款月结</w:t>
            </w:r>
          </w:p>
        </w:tc>
        <w:tc>
          <w:tcPr>
            <w:tcW w:w="1557" w:type="dxa"/>
            <w:vAlign w:val="top"/>
          </w:tcPr>
          <w:p w14:paraId="4B3E74D0">
            <w:pPr>
              <w:pStyle w:val="10"/>
              <w:spacing w:before="115" w:line="195" w:lineRule="auto"/>
              <w:ind w:left="359"/>
              <w:rPr>
                <w:sz w:val="21"/>
                <w:szCs w:val="21"/>
                <w:highlight w:val="none"/>
              </w:rPr>
            </w:pPr>
            <w:r>
              <w:rPr>
                <w:sz w:val="21"/>
                <w:szCs w:val="21"/>
                <w:highlight w:val="none"/>
              </w:rPr>
              <w:t>每月一次</w:t>
            </w:r>
          </w:p>
        </w:tc>
        <w:tc>
          <w:tcPr>
            <w:tcW w:w="1279" w:type="dxa"/>
            <w:vAlign w:val="top"/>
          </w:tcPr>
          <w:p w14:paraId="1401B6B9">
            <w:pPr>
              <w:pStyle w:val="10"/>
              <w:spacing w:before="115" w:line="195" w:lineRule="auto"/>
              <w:ind w:left="326"/>
              <w:rPr>
                <w:sz w:val="21"/>
                <w:szCs w:val="21"/>
                <w:highlight w:val="none"/>
              </w:rPr>
            </w:pPr>
            <w:r>
              <w:rPr>
                <w:spacing w:val="-1"/>
                <w:sz w:val="21"/>
                <w:szCs w:val="21"/>
                <w:highlight w:val="none"/>
              </w:rPr>
              <w:t>财务部</w:t>
            </w:r>
          </w:p>
        </w:tc>
      </w:tr>
      <w:tr w14:paraId="6506C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17" w:type="dxa"/>
            <w:vMerge w:val="restart"/>
            <w:tcBorders>
              <w:bottom w:val="nil"/>
            </w:tcBorders>
            <w:vAlign w:val="top"/>
          </w:tcPr>
          <w:p w14:paraId="7CE3BD30">
            <w:pPr>
              <w:spacing w:line="315" w:lineRule="auto"/>
              <w:rPr>
                <w:rFonts w:ascii="Arial"/>
                <w:sz w:val="21"/>
                <w:highlight w:val="none"/>
              </w:rPr>
            </w:pPr>
          </w:p>
          <w:p w14:paraId="48A0E33C">
            <w:pPr>
              <w:spacing w:line="315" w:lineRule="auto"/>
              <w:rPr>
                <w:rFonts w:ascii="Arial"/>
                <w:sz w:val="21"/>
                <w:highlight w:val="none"/>
              </w:rPr>
            </w:pPr>
          </w:p>
          <w:p w14:paraId="60964E12">
            <w:pPr>
              <w:spacing w:line="315" w:lineRule="auto"/>
              <w:rPr>
                <w:rFonts w:ascii="Arial"/>
                <w:sz w:val="21"/>
                <w:highlight w:val="none"/>
              </w:rPr>
            </w:pPr>
          </w:p>
          <w:p w14:paraId="037B0606">
            <w:pPr>
              <w:spacing w:line="315" w:lineRule="auto"/>
              <w:rPr>
                <w:rFonts w:ascii="Arial"/>
                <w:sz w:val="21"/>
                <w:highlight w:val="none"/>
              </w:rPr>
            </w:pPr>
          </w:p>
          <w:p w14:paraId="03B56AD9">
            <w:pPr>
              <w:pStyle w:val="10"/>
              <w:spacing w:before="90" w:line="194" w:lineRule="auto"/>
              <w:ind w:left="302"/>
              <w:rPr>
                <w:sz w:val="21"/>
                <w:szCs w:val="21"/>
                <w:highlight w:val="none"/>
              </w:rPr>
            </w:pPr>
            <w:r>
              <w:rPr>
                <w:spacing w:val="-1"/>
                <w:sz w:val="21"/>
                <w:szCs w:val="21"/>
                <w:highlight w:val="none"/>
              </w:rPr>
              <w:t>员工</w:t>
            </w:r>
          </w:p>
        </w:tc>
        <w:tc>
          <w:tcPr>
            <w:tcW w:w="3486" w:type="dxa"/>
            <w:vAlign w:val="top"/>
          </w:tcPr>
          <w:p w14:paraId="264BE554">
            <w:pPr>
              <w:pStyle w:val="10"/>
              <w:spacing w:before="116" w:line="195" w:lineRule="auto"/>
              <w:ind w:left="39"/>
              <w:rPr>
                <w:sz w:val="21"/>
                <w:szCs w:val="21"/>
                <w:highlight w:val="none"/>
              </w:rPr>
            </w:pPr>
            <w:r>
              <w:rPr>
                <w:spacing w:val="-2"/>
                <w:sz w:val="21"/>
                <w:szCs w:val="21"/>
                <w:highlight w:val="none"/>
              </w:rPr>
              <w:t>1.薪酬福利高，准时发工资</w:t>
            </w:r>
          </w:p>
        </w:tc>
        <w:tc>
          <w:tcPr>
            <w:tcW w:w="1061" w:type="dxa"/>
            <w:vAlign w:val="top"/>
          </w:tcPr>
          <w:p w14:paraId="462D502D">
            <w:pPr>
              <w:pStyle w:val="10"/>
              <w:spacing w:before="116" w:line="195" w:lineRule="auto"/>
              <w:ind w:left="424"/>
              <w:rPr>
                <w:sz w:val="21"/>
                <w:szCs w:val="21"/>
                <w:highlight w:val="none"/>
              </w:rPr>
            </w:pPr>
            <w:r>
              <w:rPr>
                <w:sz w:val="21"/>
                <w:szCs w:val="21"/>
                <w:highlight w:val="none"/>
              </w:rPr>
              <w:t>是</w:t>
            </w:r>
          </w:p>
        </w:tc>
        <w:tc>
          <w:tcPr>
            <w:tcW w:w="1547" w:type="dxa"/>
            <w:vAlign w:val="top"/>
          </w:tcPr>
          <w:p w14:paraId="19E766C8">
            <w:pPr>
              <w:pStyle w:val="10"/>
              <w:spacing w:before="116" w:line="195" w:lineRule="auto"/>
              <w:ind w:left="462"/>
              <w:rPr>
                <w:sz w:val="21"/>
                <w:szCs w:val="21"/>
                <w:highlight w:val="none"/>
              </w:rPr>
            </w:pPr>
            <w:r>
              <w:rPr>
                <w:spacing w:val="-1"/>
                <w:sz w:val="21"/>
                <w:szCs w:val="21"/>
                <w:highlight w:val="none"/>
              </w:rPr>
              <w:t>工资表</w:t>
            </w:r>
          </w:p>
        </w:tc>
        <w:tc>
          <w:tcPr>
            <w:tcW w:w="1557" w:type="dxa"/>
            <w:vAlign w:val="top"/>
          </w:tcPr>
          <w:p w14:paraId="1B0BD837">
            <w:pPr>
              <w:pStyle w:val="10"/>
              <w:spacing w:before="116" w:line="195" w:lineRule="auto"/>
              <w:ind w:left="359"/>
              <w:rPr>
                <w:sz w:val="21"/>
                <w:szCs w:val="21"/>
                <w:highlight w:val="none"/>
              </w:rPr>
            </w:pPr>
            <w:r>
              <w:rPr>
                <w:sz w:val="21"/>
                <w:szCs w:val="21"/>
                <w:highlight w:val="none"/>
              </w:rPr>
              <w:t>每月一次</w:t>
            </w:r>
          </w:p>
        </w:tc>
        <w:tc>
          <w:tcPr>
            <w:tcW w:w="1279" w:type="dxa"/>
            <w:vAlign w:val="top"/>
          </w:tcPr>
          <w:p w14:paraId="0F2041E7">
            <w:pPr>
              <w:pStyle w:val="10"/>
              <w:spacing w:before="116" w:line="195" w:lineRule="auto"/>
              <w:ind w:left="326"/>
              <w:rPr>
                <w:sz w:val="21"/>
                <w:szCs w:val="21"/>
                <w:highlight w:val="none"/>
              </w:rPr>
            </w:pPr>
            <w:r>
              <w:rPr>
                <w:spacing w:val="-1"/>
                <w:sz w:val="21"/>
                <w:szCs w:val="21"/>
                <w:highlight w:val="none"/>
              </w:rPr>
              <w:t>财务部</w:t>
            </w:r>
          </w:p>
        </w:tc>
      </w:tr>
      <w:tr w14:paraId="744B0B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017" w:type="dxa"/>
            <w:vMerge w:val="continue"/>
            <w:tcBorders>
              <w:top w:val="nil"/>
              <w:bottom w:val="nil"/>
            </w:tcBorders>
            <w:vAlign w:val="top"/>
          </w:tcPr>
          <w:p w14:paraId="22AD2985">
            <w:pPr>
              <w:rPr>
                <w:rFonts w:ascii="Arial"/>
                <w:sz w:val="21"/>
                <w:highlight w:val="none"/>
              </w:rPr>
            </w:pPr>
          </w:p>
        </w:tc>
        <w:tc>
          <w:tcPr>
            <w:tcW w:w="3486" w:type="dxa"/>
            <w:vAlign w:val="top"/>
          </w:tcPr>
          <w:p w14:paraId="43224E9B">
            <w:pPr>
              <w:pStyle w:val="10"/>
              <w:spacing w:before="115" w:line="194" w:lineRule="auto"/>
              <w:ind w:left="29"/>
              <w:rPr>
                <w:sz w:val="21"/>
                <w:szCs w:val="21"/>
                <w:highlight w:val="none"/>
              </w:rPr>
            </w:pPr>
            <w:r>
              <w:rPr>
                <w:spacing w:val="-2"/>
                <w:sz w:val="21"/>
                <w:szCs w:val="21"/>
                <w:highlight w:val="none"/>
              </w:rPr>
              <w:t>2.提供培训机会</w:t>
            </w:r>
          </w:p>
        </w:tc>
        <w:tc>
          <w:tcPr>
            <w:tcW w:w="1061" w:type="dxa"/>
            <w:vAlign w:val="top"/>
          </w:tcPr>
          <w:p w14:paraId="1EC348DE">
            <w:pPr>
              <w:pStyle w:val="10"/>
              <w:spacing w:before="114" w:line="196" w:lineRule="auto"/>
              <w:ind w:left="425"/>
              <w:rPr>
                <w:sz w:val="21"/>
                <w:szCs w:val="21"/>
                <w:highlight w:val="none"/>
              </w:rPr>
            </w:pPr>
            <w:r>
              <w:rPr>
                <w:sz w:val="21"/>
                <w:szCs w:val="21"/>
                <w:highlight w:val="none"/>
              </w:rPr>
              <w:t>否</w:t>
            </w:r>
          </w:p>
        </w:tc>
        <w:tc>
          <w:tcPr>
            <w:tcW w:w="1547" w:type="dxa"/>
            <w:vAlign w:val="top"/>
          </w:tcPr>
          <w:p w14:paraId="677EEF08">
            <w:pPr>
              <w:pStyle w:val="10"/>
              <w:spacing w:before="114" w:line="195" w:lineRule="auto"/>
              <w:ind w:left="355"/>
              <w:rPr>
                <w:sz w:val="21"/>
                <w:szCs w:val="21"/>
                <w:highlight w:val="none"/>
              </w:rPr>
            </w:pPr>
            <w:r>
              <w:rPr>
                <w:sz w:val="21"/>
                <w:szCs w:val="21"/>
                <w:highlight w:val="none"/>
              </w:rPr>
              <w:t>培训计划</w:t>
            </w:r>
          </w:p>
        </w:tc>
        <w:tc>
          <w:tcPr>
            <w:tcW w:w="1557" w:type="dxa"/>
            <w:vAlign w:val="top"/>
          </w:tcPr>
          <w:p w14:paraId="2E86E5F6">
            <w:pPr>
              <w:pStyle w:val="10"/>
              <w:spacing w:before="113" w:line="195" w:lineRule="auto"/>
              <w:ind w:left="359"/>
              <w:rPr>
                <w:sz w:val="21"/>
                <w:szCs w:val="21"/>
                <w:highlight w:val="none"/>
              </w:rPr>
            </w:pPr>
            <w:r>
              <w:rPr>
                <w:sz w:val="21"/>
                <w:szCs w:val="21"/>
                <w:highlight w:val="none"/>
              </w:rPr>
              <w:t>每月一次</w:t>
            </w:r>
          </w:p>
        </w:tc>
        <w:tc>
          <w:tcPr>
            <w:tcW w:w="1279" w:type="dxa"/>
            <w:vAlign w:val="top"/>
          </w:tcPr>
          <w:p w14:paraId="13F60C73">
            <w:pPr>
              <w:pStyle w:val="10"/>
              <w:spacing w:before="114" w:line="197" w:lineRule="auto"/>
              <w:ind w:left="324"/>
              <w:rPr>
                <w:rFonts w:hint="eastAsia" w:eastAsia="微软雅黑"/>
                <w:sz w:val="21"/>
                <w:szCs w:val="21"/>
                <w:highlight w:val="none"/>
                <w:lang w:eastAsia="zh-CN"/>
              </w:rPr>
            </w:pPr>
            <w:r>
              <w:rPr>
                <w:rFonts w:hint="eastAsia"/>
                <w:sz w:val="21"/>
                <w:szCs w:val="21"/>
                <w:highlight w:val="none"/>
                <w:lang w:eastAsia="zh-CN"/>
              </w:rPr>
              <w:t>综合行政部</w:t>
            </w:r>
          </w:p>
        </w:tc>
      </w:tr>
      <w:tr w14:paraId="46055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17" w:type="dxa"/>
            <w:vMerge w:val="continue"/>
            <w:tcBorders>
              <w:top w:val="nil"/>
              <w:bottom w:val="nil"/>
            </w:tcBorders>
            <w:vAlign w:val="top"/>
          </w:tcPr>
          <w:p w14:paraId="296509AA">
            <w:pPr>
              <w:rPr>
                <w:rFonts w:ascii="Arial"/>
                <w:sz w:val="21"/>
                <w:highlight w:val="none"/>
              </w:rPr>
            </w:pPr>
          </w:p>
        </w:tc>
        <w:tc>
          <w:tcPr>
            <w:tcW w:w="3486" w:type="dxa"/>
            <w:vAlign w:val="top"/>
          </w:tcPr>
          <w:p w14:paraId="2BE1DCDC">
            <w:pPr>
              <w:pStyle w:val="10"/>
              <w:spacing w:before="117" w:line="195" w:lineRule="auto"/>
              <w:ind w:left="32"/>
              <w:rPr>
                <w:sz w:val="21"/>
                <w:szCs w:val="21"/>
                <w:highlight w:val="none"/>
              </w:rPr>
            </w:pPr>
            <w:r>
              <w:rPr>
                <w:spacing w:val="-2"/>
                <w:sz w:val="21"/>
                <w:szCs w:val="21"/>
                <w:highlight w:val="none"/>
              </w:rPr>
              <w:t>3.有一定的娱乐活动</w:t>
            </w:r>
          </w:p>
        </w:tc>
        <w:tc>
          <w:tcPr>
            <w:tcW w:w="1061" w:type="dxa"/>
            <w:vAlign w:val="top"/>
          </w:tcPr>
          <w:p w14:paraId="18723FDA">
            <w:pPr>
              <w:pStyle w:val="10"/>
              <w:spacing w:before="116" w:line="196" w:lineRule="auto"/>
              <w:ind w:left="425"/>
              <w:rPr>
                <w:sz w:val="21"/>
                <w:szCs w:val="21"/>
                <w:highlight w:val="none"/>
              </w:rPr>
            </w:pPr>
            <w:r>
              <w:rPr>
                <w:sz w:val="21"/>
                <w:szCs w:val="21"/>
                <w:highlight w:val="none"/>
              </w:rPr>
              <w:t>否</w:t>
            </w:r>
          </w:p>
        </w:tc>
        <w:tc>
          <w:tcPr>
            <w:tcW w:w="1547" w:type="dxa"/>
            <w:vAlign w:val="top"/>
          </w:tcPr>
          <w:p w14:paraId="0B9373E6">
            <w:pPr>
              <w:pStyle w:val="10"/>
              <w:spacing w:before="117" w:line="195" w:lineRule="auto"/>
              <w:ind w:left="357"/>
              <w:rPr>
                <w:sz w:val="21"/>
                <w:szCs w:val="21"/>
                <w:highlight w:val="none"/>
              </w:rPr>
            </w:pPr>
            <w:r>
              <w:rPr>
                <w:spacing w:val="-1"/>
                <w:sz w:val="21"/>
                <w:szCs w:val="21"/>
                <w:highlight w:val="none"/>
              </w:rPr>
              <w:t>文化建设</w:t>
            </w:r>
          </w:p>
        </w:tc>
        <w:tc>
          <w:tcPr>
            <w:tcW w:w="1557" w:type="dxa"/>
            <w:vAlign w:val="top"/>
          </w:tcPr>
          <w:p w14:paraId="66611849">
            <w:pPr>
              <w:pStyle w:val="10"/>
              <w:spacing w:before="117" w:line="195" w:lineRule="auto"/>
              <w:ind w:left="359"/>
              <w:rPr>
                <w:sz w:val="21"/>
                <w:szCs w:val="21"/>
                <w:highlight w:val="none"/>
              </w:rPr>
            </w:pPr>
            <w:r>
              <w:rPr>
                <w:sz w:val="21"/>
                <w:szCs w:val="21"/>
                <w:highlight w:val="none"/>
              </w:rPr>
              <w:t>每年一次</w:t>
            </w:r>
          </w:p>
        </w:tc>
        <w:tc>
          <w:tcPr>
            <w:tcW w:w="1279" w:type="dxa"/>
            <w:vAlign w:val="top"/>
          </w:tcPr>
          <w:p w14:paraId="23701EFC">
            <w:pPr>
              <w:pStyle w:val="10"/>
              <w:spacing w:before="116" w:line="197" w:lineRule="auto"/>
              <w:ind w:left="324"/>
              <w:rPr>
                <w:rFonts w:hint="eastAsia" w:eastAsia="微软雅黑"/>
                <w:sz w:val="21"/>
                <w:szCs w:val="21"/>
                <w:highlight w:val="none"/>
                <w:lang w:eastAsia="zh-CN"/>
              </w:rPr>
            </w:pPr>
            <w:r>
              <w:rPr>
                <w:rFonts w:hint="eastAsia"/>
                <w:sz w:val="21"/>
                <w:szCs w:val="21"/>
                <w:highlight w:val="none"/>
                <w:lang w:eastAsia="zh-CN"/>
              </w:rPr>
              <w:t>综合行政部</w:t>
            </w:r>
          </w:p>
        </w:tc>
      </w:tr>
      <w:tr w14:paraId="24C0D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017" w:type="dxa"/>
            <w:vMerge w:val="continue"/>
            <w:tcBorders>
              <w:top w:val="nil"/>
              <w:bottom w:val="nil"/>
            </w:tcBorders>
            <w:vAlign w:val="top"/>
          </w:tcPr>
          <w:p w14:paraId="55664092">
            <w:pPr>
              <w:rPr>
                <w:rFonts w:ascii="Arial"/>
                <w:sz w:val="21"/>
                <w:highlight w:val="none"/>
              </w:rPr>
            </w:pPr>
          </w:p>
        </w:tc>
        <w:tc>
          <w:tcPr>
            <w:tcW w:w="3486" w:type="dxa"/>
            <w:vAlign w:val="top"/>
          </w:tcPr>
          <w:p w14:paraId="32BDAD11">
            <w:pPr>
              <w:pStyle w:val="10"/>
              <w:spacing w:before="114" w:line="195" w:lineRule="auto"/>
              <w:ind w:left="19"/>
              <w:rPr>
                <w:sz w:val="21"/>
                <w:szCs w:val="21"/>
                <w:highlight w:val="none"/>
              </w:rPr>
            </w:pPr>
            <w:r>
              <w:rPr>
                <w:sz w:val="21"/>
                <w:szCs w:val="21"/>
                <w:highlight w:val="none"/>
              </w:rPr>
              <w:t>4.公平完善的管理制度</w:t>
            </w:r>
          </w:p>
        </w:tc>
        <w:tc>
          <w:tcPr>
            <w:tcW w:w="1061" w:type="dxa"/>
            <w:vAlign w:val="top"/>
          </w:tcPr>
          <w:p w14:paraId="799D4EAB">
            <w:pPr>
              <w:pStyle w:val="10"/>
              <w:spacing w:before="114" w:line="195" w:lineRule="auto"/>
              <w:ind w:left="424"/>
              <w:rPr>
                <w:sz w:val="21"/>
                <w:szCs w:val="21"/>
                <w:highlight w:val="none"/>
              </w:rPr>
            </w:pPr>
            <w:r>
              <w:rPr>
                <w:sz w:val="21"/>
                <w:szCs w:val="21"/>
                <w:highlight w:val="none"/>
              </w:rPr>
              <w:t>是</w:t>
            </w:r>
          </w:p>
        </w:tc>
        <w:tc>
          <w:tcPr>
            <w:tcW w:w="1547" w:type="dxa"/>
            <w:vAlign w:val="top"/>
          </w:tcPr>
          <w:p w14:paraId="0D5A028B">
            <w:pPr>
              <w:pStyle w:val="10"/>
              <w:spacing w:before="115" w:line="194" w:lineRule="auto"/>
              <w:ind w:left="146"/>
              <w:rPr>
                <w:sz w:val="21"/>
                <w:szCs w:val="21"/>
                <w:highlight w:val="none"/>
              </w:rPr>
            </w:pPr>
            <w:r>
              <w:rPr>
                <w:spacing w:val="-1"/>
                <w:sz w:val="21"/>
                <w:szCs w:val="21"/>
                <w:highlight w:val="none"/>
              </w:rPr>
              <w:t>员工管理手册</w:t>
            </w:r>
          </w:p>
        </w:tc>
        <w:tc>
          <w:tcPr>
            <w:tcW w:w="1557" w:type="dxa"/>
            <w:vAlign w:val="top"/>
          </w:tcPr>
          <w:p w14:paraId="4C563B40">
            <w:pPr>
              <w:pStyle w:val="10"/>
              <w:spacing w:before="114" w:line="195" w:lineRule="auto"/>
              <w:ind w:left="463"/>
              <w:rPr>
                <w:sz w:val="21"/>
                <w:szCs w:val="21"/>
                <w:highlight w:val="none"/>
              </w:rPr>
            </w:pPr>
            <w:r>
              <w:rPr>
                <w:sz w:val="21"/>
                <w:szCs w:val="21"/>
                <w:highlight w:val="none"/>
              </w:rPr>
              <w:t>不定时</w:t>
            </w:r>
          </w:p>
        </w:tc>
        <w:tc>
          <w:tcPr>
            <w:tcW w:w="1279" w:type="dxa"/>
            <w:vAlign w:val="top"/>
          </w:tcPr>
          <w:p w14:paraId="3B44EE9F">
            <w:pPr>
              <w:pStyle w:val="10"/>
              <w:spacing w:before="114" w:line="197" w:lineRule="auto"/>
              <w:ind w:left="324"/>
              <w:rPr>
                <w:rFonts w:hint="eastAsia" w:eastAsia="微软雅黑"/>
                <w:sz w:val="21"/>
                <w:szCs w:val="21"/>
                <w:highlight w:val="none"/>
                <w:lang w:eastAsia="zh-CN"/>
              </w:rPr>
            </w:pPr>
            <w:r>
              <w:rPr>
                <w:rFonts w:hint="eastAsia"/>
                <w:sz w:val="21"/>
                <w:szCs w:val="21"/>
                <w:highlight w:val="none"/>
                <w:lang w:eastAsia="zh-CN"/>
              </w:rPr>
              <w:t>综合行政部</w:t>
            </w:r>
          </w:p>
        </w:tc>
      </w:tr>
      <w:tr w14:paraId="3BD58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17" w:type="dxa"/>
            <w:vMerge w:val="continue"/>
            <w:tcBorders>
              <w:top w:val="nil"/>
            </w:tcBorders>
            <w:vAlign w:val="top"/>
          </w:tcPr>
          <w:p w14:paraId="6254D960">
            <w:pPr>
              <w:rPr>
                <w:rFonts w:ascii="Arial"/>
                <w:sz w:val="21"/>
                <w:highlight w:val="none"/>
              </w:rPr>
            </w:pPr>
          </w:p>
        </w:tc>
        <w:tc>
          <w:tcPr>
            <w:tcW w:w="3486" w:type="dxa"/>
            <w:vAlign w:val="top"/>
          </w:tcPr>
          <w:p w14:paraId="4794CA88">
            <w:pPr>
              <w:pStyle w:val="10"/>
              <w:spacing w:before="118" w:line="195" w:lineRule="auto"/>
              <w:ind w:left="35"/>
              <w:rPr>
                <w:sz w:val="21"/>
                <w:szCs w:val="21"/>
                <w:highlight w:val="none"/>
              </w:rPr>
            </w:pPr>
            <w:r>
              <w:rPr>
                <w:spacing w:val="-3"/>
                <w:sz w:val="21"/>
                <w:szCs w:val="21"/>
                <w:highlight w:val="none"/>
              </w:rPr>
              <w:t>5.安全有保障</w:t>
            </w:r>
          </w:p>
        </w:tc>
        <w:tc>
          <w:tcPr>
            <w:tcW w:w="1061" w:type="dxa"/>
            <w:vAlign w:val="top"/>
          </w:tcPr>
          <w:p w14:paraId="0AE89D67">
            <w:pPr>
              <w:pStyle w:val="10"/>
              <w:spacing w:before="117" w:line="195" w:lineRule="auto"/>
              <w:ind w:left="424"/>
              <w:rPr>
                <w:sz w:val="21"/>
                <w:szCs w:val="21"/>
                <w:highlight w:val="none"/>
              </w:rPr>
            </w:pPr>
            <w:r>
              <w:rPr>
                <w:sz w:val="21"/>
                <w:szCs w:val="21"/>
                <w:highlight w:val="none"/>
              </w:rPr>
              <w:t>是</w:t>
            </w:r>
          </w:p>
        </w:tc>
        <w:tc>
          <w:tcPr>
            <w:tcW w:w="1547" w:type="dxa"/>
            <w:vAlign w:val="top"/>
          </w:tcPr>
          <w:p w14:paraId="02BAC4A6">
            <w:pPr>
              <w:pStyle w:val="10"/>
              <w:spacing w:before="118" w:line="195" w:lineRule="auto"/>
              <w:ind w:left="252"/>
              <w:rPr>
                <w:sz w:val="21"/>
                <w:szCs w:val="21"/>
                <w:highlight w:val="none"/>
              </w:rPr>
            </w:pPr>
            <w:r>
              <w:rPr>
                <w:spacing w:val="-1"/>
                <w:sz w:val="21"/>
                <w:szCs w:val="21"/>
                <w:highlight w:val="none"/>
              </w:rPr>
              <w:t>事件报告单</w:t>
            </w:r>
          </w:p>
        </w:tc>
        <w:tc>
          <w:tcPr>
            <w:tcW w:w="1557" w:type="dxa"/>
            <w:vAlign w:val="top"/>
          </w:tcPr>
          <w:p w14:paraId="218F32D6">
            <w:pPr>
              <w:pStyle w:val="10"/>
              <w:spacing w:before="117" w:line="195" w:lineRule="auto"/>
              <w:ind w:left="359"/>
              <w:rPr>
                <w:sz w:val="21"/>
                <w:szCs w:val="21"/>
                <w:highlight w:val="none"/>
              </w:rPr>
            </w:pPr>
            <w:r>
              <w:rPr>
                <w:sz w:val="21"/>
                <w:szCs w:val="21"/>
                <w:highlight w:val="none"/>
              </w:rPr>
              <w:t>每月一次</w:t>
            </w:r>
          </w:p>
        </w:tc>
        <w:tc>
          <w:tcPr>
            <w:tcW w:w="1279" w:type="dxa"/>
            <w:vAlign w:val="top"/>
          </w:tcPr>
          <w:p w14:paraId="3B9EF2DB">
            <w:pPr>
              <w:pStyle w:val="10"/>
              <w:spacing w:before="117" w:line="196" w:lineRule="auto"/>
              <w:ind w:left="325"/>
              <w:rPr>
                <w:sz w:val="21"/>
                <w:szCs w:val="21"/>
                <w:highlight w:val="none"/>
              </w:rPr>
            </w:pPr>
            <w:r>
              <w:rPr>
                <w:sz w:val="21"/>
                <w:szCs w:val="21"/>
                <w:highlight w:val="none"/>
              </w:rPr>
              <w:t>安环部</w:t>
            </w:r>
          </w:p>
        </w:tc>
      </w:tr>
      <w:tr w14:paraId="4C5FE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1017" w:type="dxa"/>
            <w:vAlign w:val="top"/>
          </w:tcPr>
          <w:p w14:paraId="108A9AA0">
            <w:pPr>
              <w:pStyle w:val="10"/>
              <w:spacing w:before="319" w:line="195" w:lineRule="auto"/>
              <w:ind w:left="97"/>
              <w:rPr>
                <w:sz w:val="21"/>
                <w:szCs w:val="21"/>
                <w:highlight w:val="none"/>
              </w:rPr>
            </w:pPr>
            <w:r>
              <w:rPr>
                <w:spacing w:val="-2"/>
                <w:sz w:val="21"/>
                <w:szCs w:val="21"/>
                <w:highlight w:val="none"/>
              </w:rPr>
              <w:t>审核机构</w:t>
            </w:r>
          </w:p>
        </w:tc>
        <w:tc>
          <w:tcPr>
            <w:tcW w:w="3486" w:type="dxa"/>
            <w:vAlign w:val="top"/>
          </w:tcPr>
          <w:p w14:paraId="1969795A">
            <w:pPr>
              <w:pStyle w:val="10"/>
              <w:spacing w:before="141" w:line="217" w:lineRule="auto"/>
              <w:ind w:left="20" w:right="14"/>
              <w:rPr>
                <w:sz w:val="21"/>
                <w:szCs w:val="21"/>
                <w:highlight w:val="none"/>
              </w:rPr>
            </w:pPr>
            <w:r>
              <w:rPr>
                <w:spacing w:val="5"/>
                <w:sz w:val="21"/>
                <w:szCs w:val="21"/>
                <w:highlight w:val="none"/>
              </w:rPr>
              <w:t>公司体系运行的有效性、充分性和符</w:t>
            </w:r>
            <w:r>
              <w:rPr>
                <w:spacing w:val="-1"/>
                <w:sz w:val="21"/>
                <w:szCs w:val="21"/>
                <w:highlight w:val="none"/>
              </w:rPr>
              <w:t>合性</w:t>
            </w:r>
          </w:p>
        </w:tc>
        <w:tc>
          <w:tcPr>
            <w:tcW w:w="1061" w:type="dxa"/>
            <w:vAlign w:val="top"/>
          </w:tcPr>
          <w:p w14:paraId="5AB076E8">
            <w:pPr>
              <w:pStyle w:val="10"/>
              <w:spacing w:before="319" w:line="195" w:lineRule="auto"/>
              <w:ind w:left="424"/>
              <w:rPr>
                <w:sz w:val="21"/>
                <w:szCs w:val="21"/>
                <w:highlight w:val="none"/>
              </w:rPr>
            </w:pPr>
            <w:r>
              <w:rPr>
                <w:sz w:val="21"/>
                <w:szCs w:val="21"/>
                <w:highlight w:val="none"/>
              </w:rPr>
              <w:t>是</w:t>
            </w:r>
          </w:p>
        </w:tc>
        <w:tc>
          <w:tcPr>
            <w:tcW w:w="1547" w:type="dxa"/>
            <w:vAlign w:val="top"/>
          </w:tcPr>
          <w:p w14:paraId="41DA3779">
            <w:pPr>
              <w:pStyle w:val="10"/>
              <w:spacing w:before="139" w:line="218" w:lineRule="auto"/>
              <w:ind w:left="457" w:right="35" w:hanging="400"/>
              <w:rPr>
                <w:sz w:val="21"/>
                <w:szCs w:val="21"/>
                <w:highlight w:val="none"/>
              </w:rPr>
            </w:pPr>
            <w:r>
              <w:rPr>
                <w:spacing w:val="-3"/>
                <w:sz w:val="21"/>
                <w:szCs w:val="21"/>
                <w:highlight w:val="none"/>
              </w:rPr>
              <w:t>内审、外审、管</w:t>
            </w:r>
            <w:r>
              <w:rPr>
                <w:sz w:val="21"/>
                <w:szCs w:val="21"/>
                <w:highlight w:val="none"/>
              </w:rPr>
              <w:t>理评审</w:t>
            </w:r>
          </w:p>
        </w:tc>
        <w:tc>
          <w:tcPr>
            <w:tcW w:w="1557" w:type="dxa"/>
            <w:vAlign w:val="top"/>
          </w:tcPr>
          <w:p w14:paraId="5CFF2476">
            <w:pPr>
              <w:pStyle w:val="10"/>
              <w:spacing w:before="319" w:line="195" w:lineRule="auto"/>
              <w:ind w:left="359"/>
              <w:rPr>
                <w:sz w:val="21"/>
                <w:szCs w:val="21"/>
                <w:highlight w:val="none"/>
              </w:rPr>
            </w:pPr>
            <w:r>
              <w:rPr>
                <w:sz w:val="21"/>
                <w:szCs w:val="21"/>
                <w:highlight w:val="none"/>
              </w:rPr>
              <w:t>每月一次</w:t>
            </w:r>
          </w:p>
        </w:tc>
        <w:tc>
          <w:tcPr>
            <w:tcW w:w="1279" w:type="dxa"/>
            <w:vAlign w:val="top"/>
          </w:tcPr>
          <w:p w14:paraId="659860D8">
            <w:pPr>
              <w:pStyle w:val="10"/>
              <w:spacing w:before="320" w:line="196" w:lineRule="auto"/>
              <w:ind w:left="323"/>
              <w:rPr>
                <w:rFonts w:hint="eastAsia" w:eastAsia="微软雅黑"/>
                <w:sz w:val="21"/>
                <w:szCs w:val="21"/>
                <w:highlight w:val="none"/>
                <w:lang w:eastAsia="zh-CN"/>
              </w:rPr>
            </w:pPr>
            <w:r>
              <w:rPr>
                <w:rFonts w:hint="eastAsia"/>
                <w:sz w:val="21"/>
                <w:szCs w:val="21"/>
                <w:highlight w:val="none"/>
                <w:lang w:eastAsia="zh-CN"/>
              </w:rPr>
              <w:t>体系售后服务部</w:t>
            </w:r>
          </w:p>
        </w:tc>
      </w:tr>
      <w:tr w14:paraId="32AE1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1017" w:type="dxa"/>
            <w:vMerge w:val="restart"/>
            <w:tcBorders>
              <w:bottom w:val="nil"/>
            </w:tcBorders>
            <w:vAlign w:val="top"/>
          </w:tcPr>
          <w:p w14:paraId="6F8B9F36">
            <w:pPr>
              <w:spacing w:line="433" w:lineRule="auto"/>
              <w:rPr>
                <w:rFonts w:ascii="Arial"/>
                <w:sz w:val="21"/>
                <w:highlight w:val="none"/>
              </w:rPr>
            </w:pPr>
          </w:p>
          <w:p w14:paraId="1000C918">
            <w:pPr>
              <w:pStyle w:val="10"/>
              <w:spacing w:before="90" w:line="195" w:lineRule="auto"/>
              <w:ind w:left="89"/>
              <w:rPr>
                <w:sz w:val="21"/>
                <w:szCs w:val="21"/>
                <w:highlight w:val="none"/>
              </w:rPr>
            </w:pPr>
            <w:r>
              <w:rPr>
                <w:sz w:val="21"/>
                <w:szCs w:val="21"/>
                <w:highlight w:val="none"/>
              </w:rPr>
              <w:t>政府机构</w:t>
            </w:r>
          </w:p>
        </w:tc>
        <w:tc>
          <w:tcPr>
            <w:tcW w:w="3486" w:type="dxa"/>
            <w:vAlign w:val="top"/>
          </w:tcPr>
          <w:p w14:paraId="1F6A4B3D">
            <w:pPr>
              <w:pStyle w:val="10"/>
              <w:spacing w:before="295" w:line="196" w:lineRule="auto"/>
              <w:ind w:left="39"/>
              <w:rPr>
                <w:sz w:val="21"/>
                <w:szCs w:val="21"/>
                <w:highlight w:val="none"/>
              </w:rPr>
            </w:pPr>
            <w:r>
              <w:rPr>
                <w:spacing w:val="-4"/>
                <w:sz w:val="21"/>
                <w:szCs w:val="21"/>
                <w:highlight w:val="none"/>
              </w:rPr>
              <w:t>1.遵纪守法</w:t>
            </w:r>
          </w:p>
        </w:tc>
        <w:tc>
          <w:tcPr>
            <w:tcW w:w="1061" w:type="dxa"/>
            <w:vAlign w:val="top"/>
          </w:tcPr>
          <w:p w14:paraId="343751E1">
            <w:pPr>
              <w:pStyle w:val="10"/>
              <w:spacing w:before="295" w:line="195" w:lineRule="auto"/>
              <w:ind w:left="424"/>
              <w:rPr>
                <w:sz w:val="21"/>
                <w:szCs w:val="21"/>
                <w:highlight w:val="none"/>
              </w:rPr>
            </w:pPr>
            <w:r>
              <w:rPr>
                <w:sz w:val="21"/>
                <w:szCs w:val="21"/>
                <w:highlight w:val="none"/>
              </w:rPr>
              <w:t>是</w:t>
            </w:r>
          </w:p>
        </w:tc>
        <w:tc>
          <w:tcPr>
            <w:tcW w:w="1547" w:type="dxa"/>
            <w:vAlign w:val="top"/>
          </w:tcPr>
          <w:p w14:paraId="08A18098">
            <w:pPr>
              <w:pStyle w:val="10"/>
              <w:spacing w:before="116" w:line="217" w:lineRule="auto"/>
              <w:ind w:left="565" w:right="31" w:hanging="526"/>
              <w:rPr>
                <w:sz w:val="21"/>
                <w:szCs w:val="21"/>
                <w:highlight w:val="none"/>
              </w:rPr>
            </w:pPr>
            <w:r>
              <w:rPr>
                <w:sz w:val="21"/>
                <w:szCs w:val="21"/>
                <w:highlight w:val="none"/>
              </w:rPr>
              <w:t>法律法规合规性</w:t>
            </w:r>
            <w:r>
              <w:rPr>
                <w:spacing w:val="-1"/>
                <w:sz w:val="21"/>
                <w:szCs w:val="21"/>
                <w:highlight w:val="none"/>
              </w:rPr>
              <w:t>评价</w:t>
            </w:r>
          </w:p>
        </w:tc>
        <w:tc>
          <w:tcPr>
            <w:tcW w:w="1557" w:type="dxa"/>
            <w:vAlign w:val="top"/>
          </w:tcPr>
          <w:p w14:paraId="7A941D48">
            <w:pPr>
              <w:pStyle w:val="10"/>
              <w:spacing w:before="295" w:line="195" w:lineRule="auto"/>
              <w:ind w:left="359"/>
              <w:rPr>
                <w:sz w:val="21"/>
                <w:szCs w:val="21"/>
                <w:highlight w:val="none"/>
              </w:rPr>
            </w:pPr>
            <w:r>
              <w:rPr>
                <w:sz w:val="21"/>
                <w:szCs w:val="21"/>
                <w:highlight w:val="none"/>
              </w:rPr>
              <w:t>每月一次</w:t>
            </w:r>
          </w:p>
        </w:tc>
        <w:tc>
          <w:tcPr>
            <w:tcW w:w="1279" w:type="dxa"/>
            <w:vAlign w:val="top"/>
          </w:tcPr>
          <w:p w14:paraId="0E337C60">
            <w:pPr>
              <w:pStyle w:val="10"/>
              <w:spacing w:before="295" w:line="196" w:lineRule="auto"/>
              <w:ind w:left="323"/>
              <w:rPr>
                <w:rFonts w:hint="eastAsia" w:eastAsia="微软雅黑"/>
                <w:sz w:val="21"/>
                <w:szCs w:val="21"/>
                <w:highlight w:val="none"/>
                <w:lang w:eastAsia="zh-CN"/>
              </w:rPr>
            </w:pPr>
            <w:r>
              <w:rPr>
                <w:rFonts w:hint="eastAsia"/>
                <w:sz w:val="21"/>
                <w:szCs w:val="21"/>
                <w:highlight w:val="none"/>
                <w:lang w:eastAsia="zh-CN"/>
              </w:rPr>
              <w:t>体系售后服务部</w:t>
            </w:r>
          </w:p>
        </w:tc>
      </w:tr>
      <w:tr w14:paraId="2F6B1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17" w:type="dxa"/>
            <w:vMerge w:val="continue"/>
            <w:tcBorders>
              <w:top w:val="nil"/>
            </w:tcBorders>
            <w:vAlign w:val="top"/>
          </w:tcPr>
          <w:p w14:paraId="494C129C">
            <w:pPr>
              <w:rPr>
                <w:rFonts w:ascii="Arial"/>
                <w:sz w:val="21"/>
                <w:highlight w:val="none"/>
              </w:rPr>
            </w:pPr>
          </w:p>
        </w:tc>
        <w:tc>
          <w:tcPr>
            <w:tcW w:w="3486" w:type="dxa"/>
            <w:vAlign w:val="top"/>
          </w:tcPr>
          <w:p w14:paraId="580E2F18">
            <w:pPr>
              <w:pStyle w:val="10"/>
              <w:spacing w:before="119" w:line="194" w:lineRule="auto"/>
              <w:ind w:left="29"/>
              <w:rPr>
                <w:sz w:val="21"/>
                <w:szCs w:val="21"/>
                <w:highlight w:val="none"/>
              </w:rPr>
            </w:pPr>
            <w:r>
              <w:rPr>
                <w:spacing w:val="-1"/>
                <w:sz w:val="21"/>
                <w:szCs w:val="21"/>
                <w:highlight w:val="none"/>
              </w:rPr>
              <w:t>2.效益好，能提供工作机会</w:t>
            </w:r>
          </w:p>
        </w:tc>
        <w:tc>
          <w:tcPr>
            <w:tcW w:w="1061" w:type="dxa"/>
            <w:vAlign w:val="top"/>
          </w:tcPr>
          <w:p w14:paraId="783FE19E">
            <w:pPr>
              <w:pStyle w:val="10"/>
              <w:spacing w:before="119" w:line="196" w:lineRule="auto"/>
              <w:ind w:left="425"/>
              <w:rPr>
                <w:sz w:val="21"/>
                <w:szCs w:val="21"/>
                <w:highlight w:val="none"/>
              </w:rPr>
            </w:pPr>
            <w:r>
              <w:rPr>
                <w:sz w:val="21"/>
                <w:szCs w:val="21"/>
                <w:highlight w:val="none"/>
              </w:rPr>
              <w:t>否</w:t>
            </w:r>
          </w:p>
        </w:tc>
        <w:tc>
          <w:tcPr>
            <w:tcW w:w="1547" w:type="dxa"/>
            <w:vAlign w:val="top"/>
          </w:tcPr>
          <w:p w14:paraId="6D4D6C99">
            <w:pPr>
              <w:pStyle w:val="10"/>
              <w:spacing w:before="118" w:line="195" w:lineRule="auto"/>
              <w:ind w:left="357"/>
              <w:rPr>
                <w:sz w:val="21"/>
                <w:szCs w:val="21"/>
                <w:highlight w:val="none"/>
              </w:rPr>
            </w:pPr>
            <w:r>
              <w:rPr>
                <w:spacing w:val="-1"/>
                <w:sz w:val="21"/>
                <w:szCs w:val="21"/>
                <w:highlight w:val="none"/>
              </w:rPr>
              <w:t>财务审计</w:t>
            </w:r>
          </w:p>
        </w:tc>
        <w:tc>
          <w:tcPr>
            <w:tcW w:w="1557" w:type="dxa"/>
            <w:vAlign w:val="top"/>
          </w:tcPr>
          <w:p w14:paraId="098E8322">
            <w:pPr>
              <w:pStyle w:val="10"/>
              <w:spacing w:before="119" w:line="195" w:lineRule="auto"/>
              <w:ind w:left="359"/>
              <w:rPr>
                <w:sz w:val="21"/>
                <w:szCs w:val="21"/>
                <w:highlight w:val="none"/>
              </w:rPr>
            </w:pPr>
            <w:r>
              <w:rPr>
                <w:sz w:val="21"/>
                <w:szCs w:val="21"/>
                <w:highlight w:val="none"/>
              </w:rPr>
              <w:t>每年一次</w:t>
            </w:r>
          </w:p>
        </w:tc>
        <w:tc>
          <w:tcPr>
            <w:tcW w:w="1279" w:type="dxa"/>
            <w:vAlign w:val="top"/>
          </w:tcPr>
          <w:p w14:paraId="484B3250">
            <w:pPr>
              <w:pStyle w:val="10"/>
              <w:spacing w:before="118" w:line="195" w:lineRule="auto"/>
              <w:ind w:left="326"/>
              <w:rPr>
                <w:sz w:val="21"/>
                <w:szCs w:val="21"/>
                <w:highlight w:val="none"/>
              </w:rPr>
            </w:pPr>
            <w:r>
              <w:rPr>
                <w:spacing w:val="-1"/>
                <w:sz w:val="21"/>
                <w:szCs w:val="21"/>
                <w:highlight w:val="none"/>
              </w:rPr>
              <w:t>财务部</w:t>
            </w:r>
          </w:p>
        </w:tc>
      </w:tr>
      <w:tr w14:paraId="5B483D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017" w:type="dxa"/>
            <w:vAlign w:val="top"/>
          </w:tcPr>
          <w:p w14:paraId="0FD16D00">
            <w:pPr>
              <w:pStyle w:val="10"/>
              <w:spacing w:before="117" w:line="218" w:lineRule="auto"/>
              <w:ind w:left="195" w:right="83" w:hanging="107"/>
              <w:rPr>
                <w:sz w:val="21"/>
                <w:szCs w:val="21"/>
                <w:highlight w:val="none"/>
              </w:rPr>
            </w:pPr>
            <w:r>
              <w:rPr>
                <w:sz w:val="21"/>
                <w:szCs w:val="21"/>
                <w:highlight w:val="none"/>
              </w:rPr>
              <w:t>周边企业及居民</w:t>
            </w:r>
          </w:p>
        </w:tc>
        <w:tc>
          <w:tcPr>
            <w:tcW w:w="3486" w:type="dxa"/>
            <w:vAlign w:val="top"/>
          </w:tcPr>
          <w:p w14:paraId="12B01DEA">
            <w:pPr>
              <w:pStyle w:val="10"/>
              <w:spacing w:before="118" w:line="218" w:lineRule="auto"/>
              <w:ind w:left="31" w:right="14" w:hanging="12"/>
              <w:rPr>
                <w:sz w:val="21"/>
                <w:szCs w:val="21"/>
                <w:highlight w:val="none"/>
              </w:rPr>
            </w:pPr>
            <w:r>
              <w:rPr>
                <w:spacing w:val="5"/>
                <w:sz w:val="21"/>
                <w:szCs w:val="21"/>
                <w:highlight w:val="none"/>
              </w:rPr>
              <w:t>污染达标排放，不对周边居民造成影</w:t>
            </w:r>
            <w:r>
              <w:rPr>
                <w:sz w:val="21"/>
                <w:szCs w:val="21"/>
                <w:highlight w:val="none"/>
              </w:rPr>
              <w:t>响</w:t>
            </w:r>
          </w:p>
        </w:tc>
        <w:tc>
          <w:tcPr>
            <w:tcW w:w="1061" w:type="dxa"/>
            <w:vAlign w:val="top"/>
          </w:tcPr>
          <w:p w14:paraId="1BF4C800">
            <w:pPr>
              <w:pStyle w:val="10"/>
              <w:spacing w:before="296" w:line="195" w:lineRule="auto"/>
              <w:ind w:left="424"/>
              <w:rPr>
                <w:sz w:val="21"/>
                <w:szCs w:val="21"/>
                <w:highlight w:val="none"/>
              </w:rPr>
            </w:pPr>
            <w:r>
              <w:rPr>
                <w:sz w:val="21"/>
                <w:szCs w:val="21"/>
                <w:highlight w:val="none"/>
              </w:rPr>
              <w:t>是</w:t>
            </w:r>
          </w:p>
        </w:tc>
        <w:tc>
          <w:tcPr>
            <w:tcW w:w="1547" w:type="dxa"/>
            <w:vAlign w:val="top"/>
          </w:tcPr>
          <w:p w14:paraId="252037B2">
            <w:pPr>
              <w:pStyle w:val="10"/>
              <w:spacing w:before="296" w:line="195" w:lineRule="auto"/>
              <w:ind w:left="354"/>
              <w:rPr>
                <w:sz w:val="21"/>
                <w:szCs w:val="21"/>
                <w:highlight w:val="none"/>
              </w:rPr>
            </w:pPr>
            <w:r>
              <w:rPr>
                <w:sz w:val="21"/>
                <w:szCs w:val="21"/>
                <w:highlight w:val="none"/>
              </w:rPr>
              <w:t>污染监测</w:t>
            </w:r>
          </w:p>
        </w:tc>
        <w:tc>
          <w:tcPr>
            <w:tcW w:w="1557" w:type="dxa"/>
            <w:vAlign w:val="top"/>
          </w:tcPr>
          <w:p w14:paraId="2AD10EA9">
            <w:pPr>
              <w:pStyle w:val="10"/>
              <w:spacing w:before="297" w:line="195" w:lineRule="auto"/>
              <w:ind w:left="359"/>
              <w:rPr>
                <w:sz w:val="21"/>
                <w:szCs w:val="21"/>
                <w:highlight w:val="none"/>
              </w:rPr>
            </w:pPr>
            <w:r>
              <w:rPr>
                <w:sz w:val="21"/>
                <w:szCs w:val="21"/>
                <w:highlight w:val="none"/>
              </w:rPr>
              <w:t>每年一次</w:t>
            </w:r>
          </w:p>
        </w:tc>
        <w:tc>
          <w:tcPr>
            <w:tcW w:w="1279" w:type="dxa"/>
            <w:vAlign w:val="top"/>
          </w:tcPr>
          <w:p w14:paraId="2BE848AC">
            <w:pPr>
              <w:pStyle w:val="10"/>
              <w:spacing w:before="296" w:line="196" w:lineRule="auto"/>
              <w:ind w:left="325"/>
              <w:rPr>
                <w:sz w:val="21"/>
                <w:szCs w:val="21"/>
                <w:highlight w:val="none"/>
              </w:rPr>
            </w:pPr>
            <w:r>
              <w:rPr>
                <w:sz w:val="21"/>
                <w:szCs w:val="21"/>
                <w:highlight w:val="none"/>
              </w:rPr>
              <w:t>安环部</w:t>
            </w:r>
          </w:p>
        </w:tc>
      </w:tr>
    </w:tbl>
    <w:p w14:paraId="0E45A386">
      <w:pPr>
        <w:pStyle w:val="3"/>
        <w:rPr>
          <w:highlight w:val="none"/>
        </w:rPr>
      </w:pPr>
    </w:p>
    <w:p w14:paraId="5CA750A2">
      <w:pPr>
        <w:pStyle w:val="3"/>
        <w:rPr>
          <w:highlight w:val="none"/>
        </w:rPr>
      </w:pPr>
    </w:p>
    <w:p w14:paraId="76BA7C4C">
      <w:pPr>
        <w:pStyle w:val="3"/>
        <w:rPr>
          <w:highlight w:val="none"/>
        </w:rPr>
      </w:pPr>
    </w:p>
    <w:p w14:paraId="530CE16F">
      <w:pPr>
        <w:pStyle w:val="3"/>
        <w:rPr>
          <w:highlight w:val="none"/>
        </w:rPr>
      </w:pPr>
      <w:r>
        <w:rPr>
          <w:rFonts w:hint="eastAsia" w:ascii="黑体" w:hAnsi="黑体" w:eastAsia="黑体" w:cs="黑体"/>
          <w:b/>
          <w:sz w:val="30"/>
          <w:szCs w:val="30"/>
        </w:rPr>
        <w:drawing>
          <wp:anchor distT="0" distB="0" distL="114300" distR="114300" simplePos="0" relativeHeight="251661312" behindDoc="1" locked="0" layoutInCell="1" allowOverlap="1">
            <wp:simplePos x="0" y="0"/>
            <wp:positionH relativeFrom="column">
              <wp:posOffset>5241925</wp:posOffset>
            </wp:positionH>
            <wp:positionV relativeFrom="paragraph">
              <wp:posOffset>55245</wp:posOffset>
            </wp:positionV>
            <wp:extent cx="984250" cy="631825"/>
            <wp:effectExtent l="0" t="0" r="6350" b="15875"/>
            <wp:wrapNone/>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pic:cNvPicPr>
                      <a:picLocks noChangeAspect="1"/>
                    </pic:cNvPicPr>
                  </pic:nvPicPr>
                  <pic:blipFill>
                    <a:blip r:embed="rId23">
                      <a:lum bright="17996"/>
                    </a:blip>
                    <a:stretch>
                      <a:fillRect/>
                    </a:stretch>
                  </pic:blipFill>
                  <pic:spPr>
                    <a:xfrm>
                      <a:off x="0" y="0"/>
                      <a:ext cx="984250" cy="631825"/>
                    </a:xfrm>
                    <a:prstGeom prst="rect">
                      <a:avLst/>
                    </a:prstGeom>
                    <a:noFill/>
                    <a:ln>
                      <a:noFill/>
                    </a:ln>
                  </pic:spPr>
                </pic:pic>
              </a:graphicData>
            </a:graphic>
          </wp:anchor>
        </w:drawing>
      </w:r>
    </w:p>
    <w:p w14:paraId="1B5A28D6">
      <w:pPr>
        <w:pStyle w:val="3"/>
        <w:keepNext w:val="0"/>
        <w:keepLines w:val="0"/>
        <w:pageBreakBefore w:val="0"/>
        <w:widowControl/>
        <w:kinsoku w:val="0"/>
        <w:wordWrap/>
        <w:overflowPunct/>
        <w:topLinePunct w:val="0"/>
        <w:autoSpaceDE w:val="0"/>
        <w:autoSpaceDN w:val="0"/>
        <w:bidi w:val="0"/>
        <w:adjustRightInd w:val="0"/>
        <w:snapToGrid w:val="0"/>
        <w:spacing w:beforeLines="0" w:after="0" w:afterLines="0" w:line="240" w:lineRule="auto"/>
        <w:jc w:val="center"/>
        <w:textAlignment w:val="baseline"/>
        <w:rPr>
          <w:rFonts w:hint="eastAsia" w:ascii="微软雅黑" w:hAnsi="微软雅黑" w:eastAsia="微软雅黑" w:cs="微软雅黑"/>
          <w:sz w:val="28"/>
          <w:szCs w:val="28"/>
          <w:lang w:val="en-US" w:eastAsia="zh-CN"/>
        </w:rPr>
      </w:pPr>
      <w:r>
        <w:rPr>
          <w:rFonts w:hint="eastAsia" w:ascii="宋体" w:hAnsi="宋体" w:cs="宋体"/>
          <w:sz w:val="28"/>
          <w:szCs w:val="28"/>
          <w:lang w:val="en-US" w:eastAsia="zh-CN"/>
        </w:rPr>
        <w:t xml:space="preserve">                                       </w:t>
      </w:r>
      <w:r>
        <w:rPr>
          <w:rFonts w:hint="eastAsia" w:ascii="微软雅黑" w:hAnsi="微软雅黑" w:eastAsia="微软雅黑" w:cs="微软雅黑"/>
          <w:sz w:val="28"/>
          <w:szCs w:val="28"/>
          <w:lang w:val="en-US" w:eastAsia="zh-CN"/>
        </w:rPr>
        <w:t>总经理：</w:t>
      </w:r>
      <w:r>
        <w:rPr>
          <w:rFonts w:hint="eastAsia" w:ascii="黑体" w:hAnsi="黑体" w:eastAsia="黑体" w:cs="黑体"/>
          <w:b/>
          <w:sz w:val="30"/>
          <w:szCs w:val="30"/>
        </w:rPr>
        <w:drawing>
          <wp:anchor distT="0" distB="0" distL="114300" distR="114300" simplePos="0" relativeHeight="251660288" behindDoc="1" locked="0" layoutInCell="1" allowOverlap="1">
            <wp:simplePos x="0" y="0"/>
            <wp:positionH relativeFrom="column">
              <wp:posOffset>5506720</wp:posOffset>
            </wp:positionH>
            <wp:positionV relativeFrom="paragraph">
              <wp:posOffset>9510395</wp:posOffset>
            </wp:positionV>
            <wp:extent cx="984250" cy="631825"/>
            <wp:effectExtent l="0" t="0" r="6350" b="15875"/>
            <wp:wrapNone/>
            <wp:docPr id="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pic:cNvPicPr>
                      <a:picLocks noChangeAspect="1"/>
                    </pic:cNvPicPr>
                  </pic:nvPicPr>
                  <pic:blipFill>
                    <a:blip r:embed="rId23">
                      <a:lum bright="17996"/>
                    </a:blip>
                    <a:stretch>
                      <a:fillRect/>
                    </a:stretch>
                  </pic:blipFill>
                  <pic:spPr>
                    <a:xfrm>
                      <a:off x="0" y="0"/>
                      <a:ext cx="984250" cy="631825"/>
                    </a:xfrm>
                    <a:prstGeom prst="rect">
                      <a:avLst/>
                    </a:prstGeom>
                    <a:noFill/>
                    <a:ln>
                      <a:noFill/>
                    </a:ln>
                  </pic:spPr>
                </pic:pic>
              </a:graphicData>
            </a:graphic>
          </wp:anchor>
        </w:drawing>
      </w:r>
      <w:r>
        <w:rPr>
          <w:rFonts w:hint="eastAsia" w:ascii="黑体" w:hAnsi="黑体" w:eastAsia="黑体" w:cs="黑体"/>
          <w:b/>
          <w:sz w:val="30"/>
          <w:szCs w:val="30"/>
        </w:rPr>
        <w:drawing>
          <wp:anchor distT="0" distB="0" distL="114300" distR="114300" simplePos="0" relativeHeight="251659264" behindDoc="1" locked="0" layoutInCell="1" allowOverlap="1">
            <wp:simplePos x="0" y="0"/>
            <wp:positionH relativeFrom="column">
              <wp:posOffset>5354320</wp:posOffset>
            </wp:positionH>
            <wp:positionV relativeFrom="paragraph">
              <wp:posOffset>9357995</wp:posOffset>
            </wp:positionV>
            <wp:extent cx="984250" cy="631825"/>
            <wp:effectExtent l="0" t="0" r="6350" b="15875"/>
            <wp:wrapNone/>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23">
                      <a:lum bright="17996"/>
                    </a:blip>
                    <a:stretch>
                      <a:fillRect/>
                    </a:stretch>
                  </pic:blipFill>
                  <pic:spPr>
                    <a:xfrm>
                      <a:off x="0" y="0"/>
                      <a:ext cx="984250" cy="631825"/>
                    </a:xfrm>
                    <a:prstGeom prst="rect">
                      <a:avLst/>
                    </a:prstGeom>
                    <a:noFill/>
                    <a:ln>
                      <a:noFill/>
                    </a:ln>
                  </pic:spPr>
                </pic:pic>
              </a:graphicData>
            </a:graphic>
          </wp:anchor>
        </w:drawing>
      </w:r>
    </w:p>
    <w:p w14:paraId="1EF99EC5">
      <w:pPr>
        <w:pStyle w:val="3"/>
        <w:keepNext w:val="0"/>
        <w:keepLines w:val="0"/>
        <w:pageBreakBefore w:val="0"/>
        <w:widowControl/>
        <w:kinsoku w:val="0"/>
        <w:wordWrap/>
        <w:overflowPunct/>
        <w:topLinePunct w:val="0"/>
        <w:autoSpaceDE w:val="0"/>
        <w:autoSpaceDN w:val="0"/>
        <w:bidi w:val="0"/>
        <w:adjustRightInd w:val="0"/>
        <w:snapToGrid w:val="0"/>
        <w:spacing w:beforeLines="0" w:after="0" w:afterLines="0" w:line="240" w:lineRule="auto"/>
        <w:jc w:val="right"/>
        <w:textAlignment w:val="baseline"/>
        <w:rPr>
          <w:rFonts w:hint="eastAsia" w:ascii="微软雅黑" w:hAnsi="微软雅黑" w:eastAsia="微软雅黑" w:cs="微软雅黑"/>
          <w:sz w:val="28"/>
          <w:szCs w:val="28"/>
          <w:lang w:val="en-US" w:eastAsia="zh-CN"/>
        </w:rPr>
      </w:pPr>
    </w:p>
    <w:p w14:paraId="54780050">
      <w:pPr>
        <w:pStyle w:val="3"/>
        <w:keepNext w:val="0"/>
        <w:keepLines w:val="0"/>
        <w:pageBreakBefore w:val="0"/>
        <w:widowControl/>
        <w:kinsoku w:val="0"/>
        <w:wordWrap/>
        <w:overflowPunct/>
        <w:topLinePunct w:val="0"/>
        <w:autoSpaceDE w:val="0"/>
        <w:autoSpaceDN w:val="0"/>
        <w:bidi w:val="0"/>
        <w:adjustRightInd w:val="0"/>
        <w:snapToGrid w:val="0"/>
        <w:spacing w:beforeLines="0" w:after="0" w:afterLines="0" w:line="240" w:lineRule="auto"/>
        <w:jc w:val="right"/>
        <w:textAlignment w:val="baseline"/>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 xml:space="preserve">                                     安徽美信铝业有限公司</w:t>
      </w:r>
    </w:p>
    <w:p w14:paraId="3F4B751B">
      <w:pPr>
        <w:pStyle w:val="3"/>
        <w:keepNext w:val="0"/>
        <w:keepLines w:val="0"/>
        <w:pageBreakBefore w:val="0"/>
        <w:widowControl/>
        <w:kinsoku w:val="0"/>
        <w:wordWrap/>
        <w:overflowPunct/>
        <w:topLinePunct w:val="0"/>
        <w:autoSpaceDE w:val="0"/>
        <w:autoSpaceDN w:val="0"/>
        <w:bidi w:val="0"/>
        <w:adjustRightInd w:val="0"/>
        <w:snapToGrid w:val="0"/>
        <w:spacing w:beforeLines="0" w:after="0" w:afterLines="0" w:line="240" w:lineRule="auto"/>
        <w:jc w:val="center"/>
        <w:textAlignment w:val="baseline"/>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 xml:space="preserve">                                                                           2024年2月1日</w:t>
      </w:r>
    </w:p>
    <w:p w14:paraId="40D13DDF">
      <w:pPr>
        <w:bidi w:val="0"/>
        <w:rPr>
          <w:rFonts w:hint="eastAsia"/>
          <w:lang w:val="en-US" w:eastAsia="zh-CN"/>
        </w:rPr>
      </w:pPr>
      <w:r>
        <w:rPr>
          <w:rFonts w:hint="eastAsia" w:ascii="黑体" w:hAnsi="黑体" w:eastAsia="黑体" w:cs="黑体"/>
          <w:b/>
          <w:sz w:val="30"/>
          <w:szCs w:val="30"/>
        </w:rPr>
        <w:drawing>
          <wp:anchor distT="0" distB="0" distL="114300" distR="114300" simplePos="0" relativeHeight="251664384" behindDoc="1" locked="0" layoutInCell="1" allowOverlap="1">
            <wp:simplePos x="0" y="0"/>
            <wp:positionH relativeFrom="column">
              <wp:posOffset>5354320</wp:posOffset>
            </wp:positionH>
            <wp:positionV relativeFrom="paragraph">
              <wp:posOffset>9357995</wp:posOffset>
            </wp:positionV>
            <wp:extent cx="984250" cy="631825"/>
            <wp:effectExtent l="0" t="0" r="6350" b="15875"/>
            <wp:wrapNone/>
            <wp:docPr id="2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pic:cNvPicPr>
                      <a:picLocks noChangeAspect="1"/>
                    </pic:cNvPicPr>
                  </pic:nvPicPr>
                  <pic:blipFill>
                    <a:blip r:embed="rId23">
                      <a:lum bright="17996"/>
                    </a:blip>
                    <a:stretch>
                      <a:fillRect/>
                    </a:stretch>
                  </pic:blipFill>
                  <pic:spPr>
                    <a:xfrm>
                      <a:off x="0" y="0"/>
                      <a:ext cx="984250" cy="631825"/>
                    </a:xfrm>
                    <a:prstGeom prst="rect">
                      <a:avLst/>
                    </a:prstGeom>
                    <a:noFill/>
                    <a:ln>
                      <a:noFill/>
                    </a:ln>
                  </pic:spPr>
                </pic:pic>
              </a:graphicData>
            </a:graphic>
          </wp:anchor>
        </w:drawing>
      </w:r>
      <w:r>
        <w:rPr>
          <w:rFonts w:hint="eastAsia" w:ascii="黑体" w:hAnsi="黑体" w:eastAsia="黑体" w:cs="黑体"/>
          <w:b/>
          <w:sz w:val="30"/>
          <w:szCs w:val="30"/>
        </w:rPr>
        <w:drawing>
          <wp:anchor distT="0" distB="0" distL="114300" distR="114300" simplePos="0" relativeHeight="251663360" behindDoc="1" locked="0" layoutInCell="1" allowOverlap="1">
            <wp:simplePos x="0" y="0"/>
            <wp:positionH relativeFrom="column">
              <wp:posOffset>5354320</wp:posOffset>
            </wp:positionH>
            <wp:positionV relativeFrom="paragraph">
              <wp:posOffset>9357995</wp:posOffset>
            </wp:positionV>
            <wp:extent cx="984250" cy="631825"/>
            <wp:effectExtent l="0" t="0" r="6350" b="15875"/>
            <wp:wrapNone/>
            <wp:docPr id="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pic:cNvPicPr>
                      <a:picLocks noChangeAspect="1"/>
                    </pic:cNvPicPr>
                  </pic:nvPicPr>
                  <pic:blipFill>
                    <a:blip r:embed="rId23">
                      <a:lum bright="17996"/>
                    </a:blip>
                    <a:stretch>
                      <a:fillRect/>
                    </a:stretch>
                  </pic:blipFill>
                  <pic:spPr>
                    <a:xfrm>
                      <a:off x="0" y="0"/>
                      <a:ext cx="984250" cy="631825"/>
                    </a:xfrm>
                    <a:prstGeom prst="rect">
                      <a:avLst/>
                    </a:prstGeom>
                    <a:noFill/>
                    <a:ln>
                      <a:noFill/>
                    </a:ln>
                  </pic:spPr>
                </pic:pic>
              </a:graphicData>
            </a:graphic>
          </wp:anchor>
        </w:drawing>
      </w:r>
      <w:r>
        <w:rPr>
          <w:rFonts w:hint="eastAsia" w:ascii="黑体" w:hAnsi="黑体" w:eastAsia="黑体" w:cs="黑体"/>
          <w:b/>
          <w:sz w:val="30"/>
          <w:szCs w:val="30"/>
        </w:rPr>
        <w:drawing>
          <wp:anchor distT="0" distB="0" distL="114300" distR="114300" simplePos="0" relativeHeight="251662336" behindDoc="1" locked="0" layoutInCell="1" allowOverlap="1">
            <wp:simplePos x="0" y="0"/>
            <wp:positionH relativeFrom="column">
              <wp:posOffset>5354320</wp:posOffset>
            </wp:positionH>
            <wp:positionV relativeFrom="paragraph">
              <wp:posOffset>9357995</wp:posOffset>
            </wp:positionV>
            <wp:extent cx="984250" cy="631825"/>
            <wp:effectExtent l="0" t="0" r="6350" b="15875"/>
            <wp:wrapNone/>
            <wp:docPr id="2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pic:cNvPicPr>
                      <a:picLocks noChangeAspect="1"/>
                    </pic:cNvPicPr>
                  </pic:nvPicPr>
                  <pic:blipFill>
                    <a:blip r:embed="rId23">
                      <a:lum bright="17996"/>
                    </a:blip>
                    <a:stretch>
                      <a:fillRect/>
                    </a:stretch>
                  </pic:blipFill>
                  <pic:spPr>
                    <a:xfrm>
                      <a:off x="0" y="0"/>
                      <a:ext cx="984250" cy="631825"/>
                    </a:xfrm>
                    <a:prstGeom prst="rect">
                      <a:avLst/>
                    </a:prstGeom>
                    <a:noFill/>
                    <a:ln>
                      <a:noFill/>
                    </a:ln>
                  </pic:spPr>
                </pic:pic>
              </a:graphicData>
            </a:graphic>
          </wp:anchor>
        </w:drawing>
      </w:r>
    </w:p>
    <w:sectPr>
      <w:footerReference r:id="rId19" w:type="default"/>
      <w:pgSz w:w="11907" w:h="16839"/>
      <w:pgMar w:top="1180" w:right="934" w:bottom="1251" w:left="1020" w:header="0" w:footer="104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60D6E">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4AF5F1">
                          <w:pPr>
                            <w:pStyle w:val="4"/>
                          </w:pPr>
                          <w:r>
                            <w:t xml:space="preserve">第 </w:t>
                          </w:r>
                          <w:r>
                            <w:rPr>
                              <w:rFonts w:hint="eastAsia" w:eastAsia="宋体"/>
                              <w:lang w:val="en-US" w:eastAsia="zh-CN"/>
                            </w:rPr>
                            <w:t>1</w:t>
                          </w:r>
                          <w:r>
                            <w:t xml:space="preserve">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4AF5F1">
                    <w:pPr>
                      <w:pStyle w:val="4"/>
                    </w:pPr>
                    <w:r>
                      <w:t xml:space="preserve">第 </w:t>
                    </w:r>
                    <w:r>
                      <w:rPr>
                        <w:rFonts w:hint="eastAsia" w:eastAsia="宋体"/>
                        <w:lang w:val="en-US" w:eastAsia="zh-CN"/>
                      </w:rPr>
                      <w:t>1</w:t>
                    </w:r>
                    <w:r>
                      <w:t xml:space="preserve">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DDB17">
    <w:pPr>
      <w:pStyle w:val="4"/>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60129A">
                          <w:pPr>
                            <w:pStyle w:val="4"/>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560129A">
                    <w:pPr>
                      <w:pStyle w:val="4"/>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3370C">
    <w:pPr>
      <w:pStyle w:val="4"/>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EDC2EE">
                          <w:pPr>
                            <w:pStyle w:val="4"/>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1EDC2EE">
                    <w:pPr>
                      <w:pStyle w:val="4"/>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7A79A">
    <w:pPr>
      <w:pStyle w:val="4"/>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453BA9">
                          <w:pPr>
                            <w:pStyle w:val="4"/>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D453BA9">
                    <w:pPr>
                      <w:pStyle w:val="4"/>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1C08D">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6D3E70">
                          <w:pPr>
                            <w:pStyle w:val="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56D3E70">
                    <w:pPr>
                      <w:pStyle w:val="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D39D1">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C42AED">
                          <w:pPr>
                            <w:pStyle w:val="4"/>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2C42AED">
                    <w:pPr>
                      <w:pStyle w:val="4"/>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5BA4B">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9FB890">
                          <w:pPr>
                            <w:pStyle w:val="4"/>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59FB890">
                    <w:pPr>
                      <w:pStyle w:val="4"/>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4E635">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F23C8D">
                          <w:pPr>
                            <w:pStyle w:val="4"/>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2F23C8D">
                    <w:pPr>
                      <w:pStyle w:val="4"/>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6CCDD">
    <w:pPr>
      <w:pStyle w:val="4"/>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A587C8">
                          <w:pPr>
                            <w:pStyle w:val="4"/>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7A587C8">
                    <w:pPr>
                      <w:pStyle w:val="4"/>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275F3">
    <w:pPr>
      <w:pStyle w:val="4"/>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6F61AA">
                          <w:pPr>
                            <w:pStyle w:val="4"/>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66F61AA">
                    <w:pPr>
                      <w:pStyle w:val="4"/>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9871D">
    <w:pPr>
      <w:pStyle w:val="4"/>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5E1B70">
                          <w:pPr>
                            <w:pStyle w:val="4"/>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45E1B70">
                    <w:pPr>
                      <w:pStyle w:val="4"/>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33202">
    <w:pPr>
      <w:pStyle w:val="4"/>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B2A5D3">
                          <w:pPr>
                            <w:pStyle w:val="4"/>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FB2A5D3">
                    <w:pPr>
                      <w:pStyle w:val="4"/>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FDF54">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6D19F">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795CF">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Y2U1OGM3ZDI1Y2IxMzBlNjJiMTA1ODk4YWY5NmYzMzEifQ=="/>
  </w:docVars>
  <w:rsids>
    <w:rsidRoot w:val="00000000"/>
    <w:rsid w:val="007327DC"/>
    <w:rsid w:val="00C8288B"/>
    <w:rsid w:val="068C79F0"/>
    <w:rsid w:val="08344B00"/>
    <w:rsid w:val="09C43F7F"/>
    <w:rsid w:val="0A80214B"/>
    <w:rsid w:val="0B7D102F"/>
    <w:rsid w:val="0C770535"/>
    <w:rsid w:val="122D705D"/>
    <w:rsid w:val="17937CF0"/>
    <w:rsid w:val="179D2D41"/>
    <w:rsid w:val="1B2C2372"/>
    <w:rsid w:val="1DCC267F"/>
    <w:rsid w:val="1DF778A7"/>
    <w:rsid w:val="1E650528"/>
    <w:rsid w:val="260643F0"/>
    <w:rsid w:val="26E33C81"/>
    <w:rsid w:val="2FD36C7C"/>
    <w:rsid w:val="3207482B"/>
    <w:rsid w:val="32DD4FAB"/>
    <w:rsid w:val="397D71D9"/>
    <w:rsid w:val="3D146CAC"/>
    <w:rsid w:val="3FDB4C86"/>
    <w:rsid w:val="41BA0B5E"/>
    <w:rsid w:val="41F92AE1"/>
    <w:rsid w:val="42CA62FB"/>
    <w:rsid w:val="443C6A0A"/>
    <w:rsid w:val="446D0585"/>
    <w:rsid w:val="448220C9"/>
    <w:rsid w:val="45E561F9"/>
    <w:rsid w:val="46377995"/>
    <w:rsid w:val="4AA12530"/>
    <w:rsid w:val="4B3A654C"/>
    <w:rsid w:val="53776EA8"/>
    <w:rsid w:val="54F332E0"/>
    <w:rsid w:val="56B227E4"/>
    <w:rsid w:val="57255902"/>
    <w:rsid w:val="5B9D4EC6"/>
    <w:rsid w:val="5BD64C97"/>
    <w:rsid w:val="5BF50C4C"/>
    <w:rsid w:val="5CFF1B24"/>
    <w:rsid w:val="5E51623A"/>
    <w:rsid w:val="60A82A60"/>
    <w:rsid w:val="618818A1"/>
    <w:rsid w:val="65AF4E40"/>
    <w:rsid w:val="6A7D5D89"/>
    <w:rsid w:val="6B313804"/>
    <w:rsid w:val="6D1D5A11"/>
    <w:rsid w:val="6E3620DD"/>
    <w:rsid w:val="706C017D"/>
    <w:rsid w:val="706F15F3"/>
    <w:rsid w:val="725245BB"/>
    <w:rsid w:val="72EC4426"/>
    <w:rsid w:val="749671B5"/>
    <w:rsid w:val="7A8B50ED"/>
    <w:rsid w:val="7FD868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微软雅黑" w:hAnsi="微软雅黑" w:eastAsia="微软雅黑" w:cs="微软雅黑"/>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3.png"/><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3.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11746</Words>
  <Characters>12348</Characters>
  <TotalTime>1</TotalTime>
  <ScaleCrop>false</ScaleCrop>
  <LinksUpToDate>false</LinksUpToDate>
  <CharactersWithSpaces>12576</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2023-08-20T23:24:00Z</dcterms:created>
  <dc:creator>曹广志</dc:creator>
  <cp:lastModifiedBy>mengxiangwu</cp:lastModifiedBy>
  <dcterms:modified xsi:type="dcterms:W3CDTF">2024-10-14T12:22:27Z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2023-10-08T09:41:32Z</vt:filetime>
  </property>
  <property fmtid="{D5CDD505-2E9C-101B-9397-08002B2CF9AE}" pid="4" name="KSOProductBuildVer">
    <vt:lpwstr>2052-12.1.0.18276</vt:lpwstr>
  </property>
  <property fmtid="{D5CDD505-2E9C-101B-9397-08002B2CF9AE}" pid="5" name="ICV">
    <vt:lpwstr>9219AAC73E2F4CC48F20E8AADF0A1E5A_13</vt:lpwstr>
  </property>
</Properties>
</file>